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51A02" w14:textId="77777777" w:rsidR="00F51EF3" w:rsidRDefault="00000000">
      <w:r>
        <w:t xml:space="preserve">           </w:t>
      </w:r>
    </w:p>
    <w:p w14:paraId="76036A2F" w14:textId="77777777" w:rsidR="00F51EF3" w:rsidRDefault="00000000">
      <w:pPr>
        <w:pStyle w:val="Heading1"/>
      </w:pPr>
      <w:r>
        <w:t>Core Code Theory: Identity Fusion and the Non-Linear Returns of Organizational Trust in the Age of AI—Explaining How Relational Contracts Generate Nonlinear Crisis Returns</w:t>
      </w:r>
    </w:p>
    <w:p w14:paraId="7C0D7466" w14:textId="77777777" w:rsidR="00F51EF3" w:rsidRDefault="00000000">
      <w:pPr>
        <w:pStyle w:val="Heading1"/>
      </w:pPr>
      <w:r>
        <w:t>Introduction</w:t>
      </w:r>
    </w:p>
    <w:p w14:paraId="2B3767B7" w14:textId="77777777" w:rsidR="00F51EF3" w:rsidRDefault="00000000">
      <w:r>
        <w:t>The contemporary organizational environment, increasingly shaped by the pervasive integration of Artificial Intelligence (AI) systems, necessitates a re-evaluation of fundamental constructs like trust and organizational identity (Bareis, 2024). Traditional models of organizational resilience and performance often underscore the significance of robust internal relationships and shared purpose (Chuang et al., 2019). However, the introduction of AI introduces novel complexities, transforming how stakeholders perceive and interact with organizational structures, processes, and even ethical frameworks (n.d.). This essay introduces a "Core Code Theory" to explain how identity fusion and relational contracts generate non-linear crisis returns within organizations operating in an AI-augmented landscape. Specifically, it posits that a deeply embedded sense of collective identity, reinforced by implicit relational agreements, can foster exceptionally high levels of trust and resilience, yielding disproportionately positive outcomes during periods of organizational stress or crisis.</w:t>
      </w:r>
    </w:p>
    <w:p w14:paraId="0792984C" w14:textId="77777777" w:rsidR="00F51EF3" w:rsidRDefault="00000000">
      <w:r>
        <w:t>Understanding the interplay between identity fusion, organizational trust, and relational contracts becomes especially pertinent when considering the ethical dimensions of AI deployment (</w:t>
      </w:r>
      <w:proofErr w:type="spellStart"/>
      <w:r>
        <w:t>Żywiołek</w:t>
      </w:r>
      <w:proofErr w:type="spellEnd"/>
      <w:r>
        <w:t xml:space="preserve">, 2024). As AI systems assume more critical roles in decision-making, resource allocation, and even human-computer interaction, questions of transparency, accountability, and fairness move to the forefront of business ethics (n.d.). The ethical integrity of an organization, particularly in how it manages human-AI collaboration and the implications for employee and customer trust, directly impacts its capacity for identity fusion and the strength of its relational contracts (Bareis, 2024). This analysis argues that organizations fostering high levels of identity fusion, coupled with strong relational contracts, are better positioned to navigate the ethical ambiguities and potential disruptions brought about by AI, converting crises into opportunities for enhanced reputation and sustained commitment (Chuang et al., 2019). The non-linear nature of these returns implies that the benefits derived from such deeply integrated ethical and social structures are not merely additive but multiply under duress, offering a significant competitive and ethical </w:t>
      </w:r>
      <w:proofErr w:type="spellStart"/>
      <w:proofErr w:type="gramStart"/>
      <w:r>
        <w:t>advantage.Theoretical</w:t>
      </w:r>
      <w:proofErr w:type="spellEnd"/>
      <w:proofErr w:type="gramEnd"/>
      <w:r>
        <w:t xml:space="preserve"> Foundations: Identity Fusion, Organizational Trust, and Relational Contracts</w:t>
      </w:r>
    </w:p>
    <w:p w14:paraId="1DE953A8" w14:textId="77777777" w:rsidR="00F51EF3" w:rsidRDefault="00000000">
      <w:r>
        <w:t xml:space="preserve">A comprehensive theoretical framework for understanding organizational resilience in the AI era must synthesize insights from social psychology, organizational theory, and ethical philosophy. This necessitates an examination of identity fusion, the multifaceted nature of organizational trust, and the strategic advantages of relational contracts (Chuang et al., 2019). These constructs, </w:t>
      </w:r>
      <w:r>
        <w:lastRenderedPageBreak/>
        <w:t>while distinct, are deeply interconnected, forming a synergistic basis for organizational robustness and ethical conduct, particularly when external pressures intensify (Swann et al., 2009).</w:t>
      </w:r>
    </w:p>
    <w:p w14:paraId="1B3B28C7" w14:textId="77777777" w:rsidR="00F51EF3" w:rsidRDefault="00000000">
      <w:pPr>
        <w:pStyle w:val="Heading2"/>
      </w:pPr>
      <w:r>
        <w:t>Identity Fusion Theory and Its Relevance to Business Ethics</w:t>
      </w:r>
    </w:p>
    <w:p w14:paraId="47981E7A" w14:textId="77777777" w:rsidR="00F51EF3" w:rsidRDefault="00000000">
      <w:r>
        <w:t>Identity fusion describes a profound sense of oneness with a group, where personal and social identities become functionally equivalent (Swann et al., 2009). This strong psychological bond motivates individuals to exhibit extreme pro-group behaviors, often involving self-sacrifice for the collective good (Reese &amp; Whitehouse, 2021). Research indicates that fusion can develop through shared experiences or perceived shared biology, with autobiographical reasoning playing a significant role in adolescence for experience-based fusion (Reese &amp; Whitehouse, 2021). In an organizational context, identity fusion extends beyond mere identification or commitment; it signifies an existential alignment between an individual's self-concept and the organization's identity (Afshari, 2021). Such fusion can be cultivated through practices that allow employees to develop meaningful self-definitions in relation to their profession or the organization, thereby enhancing their commitment (Afshari, 2021).</w:t>
      </w:r>
    </w:p>
    <w:p w14:paraId="31D61366" w14:textId="77777777" w:rsidR="00F51EF3" w:rsidRDefault="00000000">
      <w:r>
        <w:t>From an ethical perspective, identity fusion has profound implications. When individuals feel deeply fused with an organization, their ethical conduct often aligns more closely with the organization's stated values, even in challenging situations (Wenzel et al., 2019). This internal alignment can mitigate the likelihood of unethical behavior stemming from self-interest, as the self is perceived as inseparable from the group (Swann et al., 2009). However, it also introduces ethical complexities: fused individuals might exhibit blind loyalty, potentially overlooking or even enabling unethical practices if those practices are perceived to serve the group's interests (Reese &amp; Whitehouse, 2021). Therefore, fostering identity fusion ethically requires clear, consistent, and genuinely ethical leadership to ensure that pro-group behaviors are directed towards morally defensible ends (Huang et al., 2021).</w:t>
      </w:r>
    </w:p>
    <w:p w14:paraId="7CB30B2A" w14:textId="77777777" w:rsidR="00F51EF3" w:rsidRDefault="00000000">
      <w:pPr>
        <w:pStyle w:val="Heading2"/>
      </w:pPr>
      <w:r>
        <w:t>Organizational Trust: Psychological and Ethical Dimensions</w:t>
      </w:r>
    </w:p>
    <w:p w14:paraId="7BC045A9" w14:textId="77777777" w:rsidR="00F51EF3" w:rsidRDefault="00000000">
      <w:r>
        <w:t xml:space="preserve">Organizational trust represents a generalized expectation that an organization, its leaders, and its systems will act reliably, competently, and with integrity (n.d.-a). This construct is multi-dimensional, encompassing both impersonal trust (e.g., in policies, procedures, and systems) and interpersonal trust (e.g., in supervisors and colleagues) (Vanhala et al., 2016). Impersonal trust, specifically trust in organizational policies and practices, strongly correlates with organizational commitment (Vanhala et al., 2016). The presence of trust reduces transaction costs, facilitates cooperation, and enhances overall organizational effectiveness (n.d.-a). Factors such as ethical leadership, work group cohesion, age, and marital status have been found to influence levels of organizational trust (Huang et al., </w:t>
      </w:r>
      <w:proofErr w:type="gramStart"/>
      <w:r>
        <w:t>2021)(</w:t>
      </w:r>
      <w:proofErr w:type="gramEnd"/>
      <w:r>
        <w:t>Gilbert &amp; Tang, 1998).</w:t>
      </w:r>
    </w:p>
    <w:p w14:paraId="1A3D6AE5" w14:textId="77777777" w:rsidR="00F51EF3" w:rsidRDefault="00000000">
      <w:r>
        <w:t xml:space="preserve">Ethically, organizational trust is paramount. It forms the bedrock of an organization's moral legitimacy and its social license to operate. Transparent communication, particularly concerning sensitive issues, builds public trust and encourages desirable behaviors during crises (Lee &amp; Li, 2021). When an organization acts ethically and transparently, it reinforces trust, which in turn strengthens employees' psychological well-being and their willingness to engage in organizational citizenship behaviors (Huang et al., 2021). Conversely, breaches of trust, especially those involving ethical misconduct, can severely damage an organization's reputation </w:t>
      </w:r>
      <w:r>
        <w:lastRenderedPageBreak/>
        <w:t>and internal cohesion, leading to decreased commitment and performance (n.d.-a). Therefore, cultivating and maintaining organizational trust is not merely a strategic imperative but a fundamental ethical obligation.</w:t>
      </w:r>
    </w:p>
    <w:p w14:paraId="413A8877" w14:textId="77777777" w:rsidR="00F51EF3" w:rsidRDefault="00000000">
      <w:pPr>
        <w:pStyle w:val="Heading2"/>
      </w:pPr>
      <w:r>
        <w:t>Relational Contracts and Non-Linear Dynamics</w:t>
      </w:r>
    </w:p>
    <w:p w14:paraId="7D921CB0" w14:textId="77777777" w:rsidR="00F51EF3" w:rsidRDefault="00000000">
      <w:r>
        <w:t xml:space="preserve">Relational contracts are informal agreements sustained by ongoing relationships and a shared understanding of mutual obligations, often operating where formal contracts are incomplete or insufficient (Chuang et al., </w:t>
      </w:r>
      <w:proofErr w:type="gramStart"/>
      <w:r>
        <w:t>2019)(</w:t>
      </w:r>
      <w:proofErr w:type="gramEnd"/>
      <w:r>
        <w:t xml:space="preserve">Gibbons &amp; Henderson, 2012). These implicit agreements are particularly valuable in complex service delivery or partnerships where unforeseen contingencies are common (Chuang et al., 2019). Key dimensions of relational contracting include communication quality, flexibility, and interdependence, which contribute to satisfaction and long-term commitment within contractual relationships (Chuang et al., 2019). The efficacy of relational contracts hinges on solving the dual problems of credibility and clarity, with clarity often requiring significant time to </w:t>
      </w:r>
      <w:proofErr w:type="gramStart"/>
      <w:r>
        <w:t>develop .</w:t>
      </w:r>
      <w:proofErr w:type="gramEnd"/>
    </w:p>
    <w:p w14:paraId="69637582" w14:textId="77777777" w:rsidR="00F51EF3" w:rsidRDefault="00000000">
      <w:r>
        <w:t>The "shadow of the future" plays a critical role in enforcing these informal agreements; a threat of relationship termination can powerfully motivate adherence to unwritten norms (Brown et al., 2004). This dynamic introduces a non-linear aspect: modest investments in relationship building can yield substantial, disproportionate returns during periods of stress. When an organization faces a crisis, its ability to rely on these robust, implicit agreements—rather than rigid, formal rules—allows for greater adaptability and collective problem-solving (Chuang et al., 2019). The ethical underpinning of relational contracts lies in their reliance on mutual respect, fairness, and a commitment to shared goals, even when not explicitly codified (Gallus et al., 2022). Organizations that cultivate strong relational contracts exhibit higher levels of trust and satisfaction, particularly in human service contexts (Chuang et al., 2019). This deep integration of ethical practice into operational agreements creates a significant capability that is difficult for competitors to replicate, forming a crucial element of sustained ethical performance and crisis resilience.</w:t>
      </w:r>
    </w:p>
    <w:p w14:paraId="279FF9E2" w14:textId="77777777" w:rsidR="00F51EF3" w:rsidRDefault="00000000">
      <w:pPr>
        <w:pStyle w:val="Heading1"/>
      </w:pPr>
      <w:r>
        <w:t>AI in Organizations: Transforming Trust and Ethical Challenges</w:t>
      </w:r>
    </w:p>
    <w:p w14:paraId="3F421E08" w14:textId="77777777" w:rsidR="00F51EF3" w:rsidRDefault="00000000">
      <w:r>
        <w:t>The rapid integration of AI across various sectors reshapes organizational dynamics, challenging existing paradigms of trust, ethics, and human interaction (n.d.). AI's transformative potential is immense, but its deployment necessitates careful consideration of its implications for organizational culture and ethical governance (Bareis, 2024).</w:t>
      </w:r>
    </w:p>
    <w:p w14:paraId="6686E4F5" w14:textId="77777777" w:rsidR="00F51EF3" w:rsidRDefault="00000000">
      <w:pPr>
        <w:pStyle w:val="Heading2"/>
      </w:pPr>
      <w:r>
        <w:t>The Rise of AI and the Evolving Landscape of Business Ethics</w:t>
      </w:r>
    </w:p>
    <w:p w14:paraId="600A72DA" w14:textId="77777777" w:rsidR="00F51EF3" w:rsidRDefault="00000000">
      <w:r>
        <w:t>AI's increasing ubiquity means organizations must navigate a complex ethical terrain (n.d.). From automating decision-making to influencing human behavior, AI technologies introduce new forms of algorithmic bias, privacy concerns, and questions of accountability (</w:t>
      </w:r>
      <w:proofErr w:type="spellStart"/>
      <w:r>
        <w:t>Żywiołek</w:t>
      </w:r>
      <w:proofErr w:type="spellEnd"/>
      <w:r>
        <w:t xml:space="preserve">, 2024). The ethical challenges are not confined to technical issues; they extend to the organizational structures that develop and deploy AI, the impact on employees, and the broader societal implications (Bareis, 2024). Organizations are thus confronted with the imperative to integrate </w:t>
      </w:r>
      <w:r>
        <w:lastRenderedPageBreak/>
        <w:t>Responsible AI (RAI) principles into their governance frameworks to mitigate emerging risks (n.d.). This involves clarifying who is accountable for AI systems, what elements are governed, when governance occurs, and how it is executed through various mechanisms such as frameworks, tools, and standards (n.d.).</w:t>
      </w:r>
    </w:p>
    <w:p w14:paraId="0BE50BF6" w14:textId="77777777" w:rsidR="00F51EF3" w:rsidRDefault="00000000">
      <w:r>
        <w:t>The very concept of business ethics must expand to encompass the moral responsibilities associated with designing, implementing, and monitoring AI. This includes ensuring AI systems are fair, transparent, and interpretable, thereby preventing discrimination and fostering equitable outcomes (</w:t>
      </w:r>
      <w:proofErr w:type="spellStart"/>
      <w:r>
        <w:t>Żywiołek</w:t>
      </w:r>
      <w:proofErr w:type="spellEnd"/>
      <w:r>
        <w:t>, 2024). Organizations face the challenge of reconciling profit motives with ethical AI development, recognizing that short-term gains from unchecked AI deployment can lead to severe long-term reputational damage and erosion of stakeholder trust. The ethical landscape now requires proactive engagement with AI's potential for harm and a commitment to human-centric AI design (Bareis, 2024).</w:t>
      </w:r>
    </w:p>
    <w:p w14:paraId="6D088C05" w14:textId="77777777" w:rsidR="00F51EF3" w:rsidRDefault="00000000">
      <w:pPr>
        <w:pStyle w:val="Heading2"/>
      </w:pPr>
      <w:r>
        <w:t>AI, Transparency, and Accountability: Implications for Trust</w:t>
      </w:r>
    </w:p>
    <w:p w14:paraId="7BF089BC" w14:textId="77777777" w:rsidR="00F51EF3" w:rsidRDefault="00000000">
      <w:r>
        <w:t>Transparency and accountability are critical for building and sustaining trust in AI systems (</w:t>
      </w:r>
      <w:proofErr w:type="spellStart"/>
      <w:r>
        <w:t>Żywiołek</w:t>
      </w:r>
      <w:proofErr w:type="spellEnd"/>
      <w:r>
        <w:t>, 2024). Lack of clarity regarding how AI algorithms make decisions, or the data they use, can lead to distrust among users and employees (Bareis, 2024). Organizations must develop mechanisms to explain AI outputs, identify and mitigate algorithmic biases, and establish clear lines of responsibility for AI-driven outcomes (n.d.). This necessitates a shift towards "trustworthy AI" (TAI), which is not merely a technical attribute but a complex interplay of user perceptions, the network of actors involved in AI's development and deployment, regulatory frameworks, and public narratives (Bareis, 2024).</w:t>
      </w:r>
    </w:p>
    <w:p w14:paraId="55E0DD1E" w14:textId="77777777" w:rsidR="00F51EF3" w:rsidRDefault="00000000">
      <w:r>
        <w:t>The challenge of establishing confidence in AI, particularly within regulated environments, involves technological, ethical, social, and legal considerations (</w:t>
      </w:r>
      <w:proofErr w:type="spellStart"/>
      <w:r>
        <w:t>Żywiołek</w:t>
      </w:r>
      <w:proofErr w:type="spellEnd"/>
      <w:r>
        <w:t>, 2024). Organizations must commit to a comprehensive plan for secure AI development and execution, emphasizing transparency, ethics, and collaboration (</w:t>
      </w:r>
      <w:proofErr w:type="spellStart"/>
      <w:r>
        <w:t>Żywiołek</w:t>
      </w:r>
      <w:proofErr w:type="spellEnd"/>
      <w:r>
        <w:t>, 2024). This includes ensuring that AI systems are explainable, robust, and aligned with human values (Bareis, 2024). When AI systems operate opaquely or without clear accountability, they can erode both internal organizational trust and external stakeholder confidence, potentially undermining the very foundation of identity fusion and relational contracting. Conversely, transparent and accountable AI deployment can reinforce trust, demonstrating an organization's commitment to ethical principles and fostering a more cohesive internal environment (Lee &amp; Li, 2021).</w:t>
      </w:r>
    </w:p>
    <w:p w14:paraId="2E8FB06D" w14:textId="77777777" w:rsidR="00F51EF3" w:rsidRDefault="00000000">
      <w:pPr>
        <w:pStyle w:val="Heading2"/>
      </w:pPr>
      <w:r>
        <w:t>The Interdependence of Human-AI Trust Structures</w:t>
      </w:r>
    </w:p>
    <w:p w14:paraId="597007FC" w14:textId="77777777" w:rsidR="00F51EF3" w:rsidRDefault="00000000">
      <w:r>
        <w:t>The effective collaboration between humans and AI systems necessitates an adequate level of operator trust in AI (Hou et al., 2025). This is not a static state but a dynamic, transactional process that requires continuous evaluation and calibration (Hou et al., 2025). Organizations must implement "Trust Management Systems" (TMS) to monitor, manage, and adjust AI behavior to ensure trust is calibrated appropriately (Hou et al., 2025). Such systems are integral to developing trustworthy AI and enabling effective Human-AI Teaming (HAT) (Hou et al., 2025).</w:t>
      </w:r>
    </w:p>
    <w:p w14:paraId="39EF25D7" w14:textId="77777777" w:rsidR="00F51EF3" w:rsidRDefault="00000000">
      <w:r>
        <w:t xml:space="preserve">The interdependence extends to how humans perceive AI. Users often view AI as a "quasi-other," attributing certain human-like qualities that influence their trust responses (Bareis, 2024). This perception, coupled with the AI's embedding in a network of human actors (programmers, platform gatekeepers), creates a complex web of trust relationships (Bareis, 2024). For instance, the empathy displayed by chatbots and their identity disclosure can affect user willingness to </w:t>
      </w:r>
      <w:r>
        <w:lastRenderedPageBreak/>
        <w:t>engage, mediated by perceptions of human likeness and social presence (Park et al., 2022). Ethical considerations therefore must address the psychological aspects of human-AI interaction, ensuring that AI design fosters appropriate trust without deception or manipulation (Park et al., 2022). A well-calibrated human-AI trust structure, grounded in ethical AI principles, can strengthen the overall organizational fabric, contributing to an environment where identity fusion and relational contracts can thrive, even as technology evolves (Hou et al., 2025).</w:t>
      </w:r>
    </w:p>
    <w:p w14:paraId="268B7409" w14:textId="77777777" w:rsidR="00F51EF3" w:rsidRDefault="00000000">
      <w:pPr>
        <w:pStyle w:val="Heading1"/>
      </w:pPr>
      <w:r>
        <w:t>Identity Fusion in the Digital Age: Mechanisms and Impacts</w:t>
      </w:r>
    </w:p>
    <w:p w14:paraId="4EEF4952" w14:textId="77777777" w:rsidR="00F51EF3" w:rsidRDefault="00000000">
      <w:r>
        <w:t>The digital age, characterized by AI integration and increasingly virtualized work environments, presents unique challenges and opportunities for fostering identity fusion within organizations. The mechanisms through which group oneness and relational commitment are built and sustained require re-examination in this technologically mediated context.</w:t>
      </w:r>
    </w:p>
    <w:p w14:paraId="4CDCB6A4" w14:textId="77777777" w:rsidR="00F51EF3" w:rsidRDefault="00000000">
      <w:pPr>
        <w:pStyle w:val="Heading2"/>
      </w:pPr>
      <w:r>
        <w:t>Group Oneness, Relational Commitment, and Organizational Resilience</w:t>
      </w:r>
    </w:p>
    <w:p w14:paraId="4A5781FA" w14:textId="77777777" w:rsidR="00F51EF3" w:rsidRDefault="00000000">
      <w:r>
        <w:t>Group oneness, a core component of identity fusion, significantly impacts an organization's resilience. When individuals experience a deep sense of psychological merger with their organization, they exhibit heightened loyalty and a willingness to act on its behalf, even in the face of adversity (Swann et al., 2009). This internal cohesion provides a powerful buffer against external shocks and internal disagreements. Organizations that successfully cultivate this profound connection among their members create a reservoir of goodwill and commitment that can be drawn upon during crises (Afshari, 2021).</w:t>
      </w:r>
    </w:p>
    <w:p w14:paraId="1A2229D7" w14:textId="77777777" w:rsidR="00F51EF3" w:rsidRDefault="00000000">
      <w:r>
        <w:t>Relational commitment, an outcome of strong identity fusion, strengthens the informal bonds and shared understandings that underpin relational contracts (Chuang et al., 2019). This commitment extends beyond transactional exchanges, encompassing a dedication to the organization's mission and values (Afshari, 2021). In the context of organizational resilience, this means that employees are more likely to adapt, innovate, and collectively problem-solve when faced with unexpected challenges, rather than resorting to self-preservation or disengagement. The ethical dimension here is crucial: an organization's genuine commitment to its employees' well-being and its adherence to ethical principles are reciprocal factors that deepen relational commitment and, consequently, identity fusion (Huang et al., 2021). The feeling of being part of a morally upright and supportive collective reinforces the desire for individuals to define themselves in relation to that group, thereby bolstering its resilience (Afshari, 2021).</w:t>
      </w:r>
    </w:p>
    <w:p w14:paraId="2BABE4AA" w14:textId="77777777" w:rsidR="00F51EF3" w:rsidRDefault="00000000">
      <w:pPr>
        <w:pStyle w:val="Heading2"/>
      </w:pPr>
      <w:r>
        <w:t>AI-Mediated Identity Dynamics: Enhancing or Undermining Fusion?</w:t>
      </w:r>
    </w:p>
    <w:p w14:paraId="7C701323" w14:textId="77777777" w:rsidR="00F51EF3" w:rsidRDefault="00000000">
      <w:r>
        <w:t xml:space="preserve">AI's role in mediating identity dynamics presents a dual-edged sword. On one hand, AI tools can enhance communication, facilitate collaboration across distributed teams, and personalize employee experiences, potentially fostering a stronger sense of connection to the organization (Methot et al., 2018). For instance, AI-powered platforms can identify common interests, streamline onboarding processes, and provide personalized feedback, thereby helping individuals </w:t>
      </w:r>
      <w:r>
        <w:lastRenderedPageBreak/>
        <w:t>feel more integrated and valued within the organizational fabric (Afshari, 2021). This increased sense of belonging can contribute to identity fusion, particularly if AI is used to reinforce shared values and foster a collective narrative (Reese &amp; Whitehouse, 2021).</w:t>
      </w:r>
    </w:p>
    <w:p w14:paraId="729B2D8F" w14:textId="77777777" w:rsidR="00F51EF3" w:rsidRDefault="00000000">
      <w:r>
        <w:t>Conversely, the opaque nature of some AI systems, the potential for algorithmic bias, and the perceived threat of automation to human jobs can undermine identity fusion (n.d.). If AI is deployed without transparency or ethical safeguards, it can create a sense of alienation, distrust, and a perception that human contributions are devalued (Bareis, 2024). For example, AI-driven performance monitoring or decision-making systems that lack explainability can lead employees to question the fairness and integrity of the organization, thereby fragmenting their sense of identity with the group (M. Brown et al., 2004). The ethical deployment of AI, therefore, requires careful consideration of its psychological impact on employees' sense of self and their connection to the organization. Organizations must ensure that AI tools augment human capabilities and foster collaboration, rather than replacing human interaction or creating environments where individuals feel depersonalized, thus preserving and enhancing the conditions for identity fusion (Hou et al., 2025).</w:t>
      </w:r>
    </w:p>
    <w:p w14:paraId="462FACED" w14:textId="77777777" w:rsidR="00F51EF3" w:rsidRDefault="00000000">
      <w:pPr>
        <w:pStyle w:val="Heading1"/>
      </w:pPr>
      <w:r>
        <w:t>Relational Contracts in an AI-Augmented Environment</w:t>
      </w:r>
    </w:p>
    <w:p w14:paraId="2E09E22E" w14:textId="77777777" w:rsidR="00F51EF3" w:rsidRDefault="00000000">
      <w:r>
        <w:t>The integration of AI into organizational operations fundamentally alters the context in which relational contracts are formed, maintained, and leveraged. While AI can streamline formal processes, the informal, trust-based agreements that characterize relational contracting become even more vital for adaptability and ethical resilience in an uncertain technological landscape (Gibbons &amp; Henderson, 2012).</w:t>
      </w:r>
    </w:p>
    <w:p w14:paraId="4C36CFA2" w14:textId="77777777" w:rsidR="00F51EF3" w:rsidRDefault="00000000">
      <w:pPr>
        <w:pStyle w:val="Heading2"/>
      </w:pPr>
      <w:r>
        <w:t>Relational Contracting as a Source of Organizational Capability</w:t>
      </w:r>
    </w:p>
    <w:p w14:paraId="6DC85A48" w14:textId="77777777" w:rsidR="00F51EF3" w:rsidRDefault="00000000">
      <w:r>
        <w:t>Relational contracts serve as a unique organizational capability, particularly where formal contracts are inherently incomplete due to complexity or uncertainty (Chuang et al., 2019). These informal agreements, sustained by trust and mutual understanding, allow for flexibility and responsiveness that rigid formal arrangements cannot provide (Gibbons &amp; Henderson, 2012). In an AI-augmented environment, where rapid technological shifts and unforeseen ethical dilemmas are common, the ability to adapt through implicit understandings becomes a critical competitive advantage (n.d.). Organizations with strong relational contracts can navigate ambiguities, adjust expectations, and resolve conflicts more efficiently, fostering a resilient operational environment (Chuang et al., 2019).</w:t>
      </w:r>
    </w:p>
    <w:p w14:paraId="3A3C7398" w14:textId="77777777" w:rsidR="00F51EF3" w:rsidRDefault="00000000">
      <w:r>
        <w:t>Developing this capability involves cultivating high-quality communication, fostering interdependence, and ensuring flexibility within relationships (Chuang et al., 2019). The ethical dimension of this capability lies in the consistent demonstration of fairness, transparency, and a commitment to long-term mutual benefit by all parties involved (Gallus et al., 2022). This includes ensuring that AI-driven interactions uphold these ethical tenets. If an organization's AI systems consistently act in ways that are perceived as fair and transparent, they can paradoxically reinforce the credibility of relational contracts, even as the human element of interaction becomes partially automated (</w:t>
      </w:r>
      <w:proofErr w:type="spellStart"/>
      <w:r>
        <w:t>Żywiołek</w:t>
      </w:r>
      <w:proofErr w:type="spellEnd"/>
      <w:r>
        <w:t>, 2024). This integrated approach to human and AI interaction strengthens the overall organizational capability derived from relational contracting.</w:t>
      </w:r>
    </w:p>
    <w:p w14:paraId="3C2B563A" w14:textId="77777777" w:rsidR="00F51EF3" w:rsidRDefault="00000000">
      <w:pPr>
        <w:pStyle w:val="Heading2"/>
      </w:pPr>
      <w:r>
        <w:lastRenderedPageBreak/>
        <w:t>AI, Contractual Clarity, and Crisis Response</w:t>
      </w:r>
    </w:p>
    <w:p w14:paraId="6597B7E6" w14:textId="77777777" w:rsidR="00F51EF3" w:rsidRDefault="00000000">
      <w:r>
        <w:t>AI can influence both contractual clarity and an organization's crisis response capabilities. On one hand, AI can enhance clarity by automating data analysis, identifying potential contractual gaps, and ensuring compliance with explicit terms (n.d.-c). This can free human resources to focus on the nuanced, relational aspects of agreements. However, AI also introduces new forms of ambiguity, particularly when its outputs or decision-making processes are not fully transparent (Bareis, 2024). Achieving contractual clarity in an AI-augmented context therefore demands not only explicit definitions but also a clear understanding of AI's role, limitations, and ethical boundaries. This requires a "Trust Management System" that calibrates human trust in AI, ensuring that AI contributes positively to clarity rather than obscuring it (Hou et al., 2025).</w:t>
      </w:r>
    </w:p>
    <w:p w14:paraId="0876E1AD" w14:textId="77777777" w:rsidR="00F51EF3" w:rsidRDefault="00000000">
      <w:r>
        <w:t xml:space="preserve">During a crisis, relational contracts become critical. They enable rapid adaptation and </w:t>
      </w:r>
      <w:proofErr w:type="gramStart"/>
      <w:r>
        <w:t>coordinated</w:t>
      </w:r>
      <w:proofErr w:type="gramEnd"/>
      <w:r>
        <w:t xml:space="preserve"> action beyond what formal rules dictate (Chuang et al., 2019). AI can support crisis response by providing real-time data, predictive analytics, and automated communication, but the effectiveness of these tools depends on the underlying human relationships and trust (Lee &amp; Li, 2021). If employees and partners trust the AI systems and the organization deploying them, they are more likely to integrate AI insights into their crisis management efforts (Hou et al., 2025). Conversely, a lack of trust in AI or in the ethical governance of its use can hinder effective crisis response, as individuals may override or ignore AI recommendations, leading to suboptimal outcomes (Bareis, 2024). The ethical deployment of AI in crisis management is thus inextricably linked to reinforcing trust and the efficacy of relational contracts.</w:t>
      </w:r>
    </w:p>
    <w:p w14:paraId="53BC6BA2" w14:textId="77777777" w:rsidR="00F51EF3" w:rsidRDefault="00000000">
      <w:pPr>
        <w:pStyle w:val="Heading2"/>
      </w:pPr>
      <w:r>
        <w:t>Non-Linear Returns During Organizational Stress and Crisis Events</w:t>
      </w:r>
    </w:p>
    <w:p w14:paraId="7E7A121F" w14:textId="77777777" w:rsidR="00F51EF3" w:rsidRDefault="00000000">
      <w:r>
        <w:t>The "Core Code Theory" posits that strong identity fusion and robust relational contracts generate non-linear returns during periods of organizational stress and crisis. This means that the benefits accrued are not proportional to the initial investment; rather, they escalate disproportionately when the system is under duress (Chuang et al., 2019). During routine operations, the advantages of high trust and deep identity might be evident but not necessarily dramatic. However, when an organization faces an existential threat, an ethical scandal, or a significant operational disruption, these underlying social and psychological structures prove invaluable.</w:t>
      </w:r>
    </w:p>
    <w:p w14:paraId="2C161B29" w14:textId="77777777" w:rsidR="00F51EF3" w:rsidRDefault="00000000">
      <w:r>
        <w:t xml:space="preserve">For example, in a crisis, employees fused with the organization exhibit extraordinary dedication, creativity, and resilience, undertaking self-sacrificial behaviors for the collective good (Swann et al., 2009). Simultaneously, robust relational contracts with suppliers, customers, and partners allow for flexible adjustments, renegotiations, and mutual support that would be impossible under purely formal agreements (Gibbons &amp; Henderson, 2012). The combination of these factors enables the organization to adapt rapidly, mobilize resources effectively, and maintain stakeholder loyalty, often leading to a swifter and more complete recovery than organizations lacking such foundational </w:t>
      </w:r>
      <w:proofErr w:type="gramStart"/>
      <w:r>
        <w:t>elements .</w:t>
      </w:r>
      <w:proofErr w:type="gramEnd"/>
      <w:r>
        <w:t xml:space="preserve"> The ethical implications are clear: organizations built on strong moral foundations, where trust is prioritized and identity is genuinely shared, are not merely more resistant to crises but can emerge stronger, with enhanced reputation and solidified stakeholder relationships. This represents a significant non-linear return on ethical capital, particularly relevant as AI introduces new vectors of ethical risk and opportunity.</w:t>
      </w:r>
    </w:p>
    <w:p w14:paraId="671CBCF3" w14:textId="77777777" w:rsidR="00F51EF3" w:rsidRDefault="00000000">
      <w:pPr>
        <w:pStyle w:val="Heading1"/>
      </w:pPr>
      <w:r>
        <w:lastRenderedPageBreak/>
        <w:t>Non-Linear Crisis Returns: Ethical Implications and Empirical Evidence</w:t>
      </w:r>
    </w:p>
    <w:p w14:paraId="548993F0" w14:textId="77777777" w:rsidR="00F51EF3" w:rsidRDefault="00000000">
      <w:r>
        <w:t>The concept of non-linear crisis returns highlights how ethical capital, embedded in identity fusion and relational contracts, can yield disproportionate benefits during adversity. Examining this phenomenon requires both theoretical grounding and empirical substantiation, particularly within organizations grappling with AI integration.</w:t>
      </w:r>
    </w:p>
    <w:p w14:paraId="3CFD39FA" w14:textId="77777777" w:rsidR="00F51EF3" w:rsidRDefault="00000000">
      <w:pPr>
        <w:pStyle w:val="Heading2"/>
      </w:pPr>
      <w:r>
        <w:t>Case Analyses of Relational Contracts in AI-Driven Organizations</w:t>
      </w:r>
    </w:p>
    <w:p w14:paraId="59A5F2DA" w14:textId="77777777" w:rsidR="00F51EF3" w:rsidRDefault="00000000">
      <w:r>
        <w:t xml:space="preserve">Empirical evidence for the non-linear returns of relational contracts can be found in various organizational settings, especially those involving complex service delivery or high-stakes partnerships (Chuang et al., 2019). Consider a technology firm that relies heavily on AI development and deployment. During a significant cybersecurity breach, an AI-driven organization with strong relational contracts might experience a fundamentally different outcome compared to one relying solely on formal agreements. If key suppliers, ethical oversight bodies, and employees share a deep relational commitment, they might voluntarily </w:t>
      </w:r>
      <w:proofErr w:type="gramStart"/>
      <w:r>
        <w:t>offer assistance</w:t>
      </w:r>
      <w:proofErr w:type="gramEnd"/>
      <w:r>
        <w:t>, accept flexible payment terms, or work extra hours to mitigate the damage, driven by a sense of shared fate and mutual trust (Gibbons &amp; Henderson, 2012).</w:t>
      </w:r>
    </w:p>
    <w:p w14:paraId="4E627687" w14:textId="77777777" w:rsidR="00F51EF3" w:rsidRDefault="00000000">
      <w:r>
        <w:t>A hypothetical case study could involve an AI healthcare provider facing public scrutiny over algorithmic bias in patient diagnosis. An organization where employees are fused with a mission of ethical AI, and where relational contracts with patient advocacy groups and regulators are strong, might respond by proactively disclosing the bias, collaborating on solutions, and offering restitution, thereby rebuilding trust and preventing more severe regulatory action (</w:t>
      </w:r>
      <w:proofErr w:type="spellStart"/>
      <w:r>
        <w:t>Żywiołek</w:t>
      </w:r>
      <w:proofErr w:type="spellEnd"/>
      <w:r>
        <w:t xml:space="preserve">, 2024). In contrast, an organization lacking such deep relational bonds might face severe backlash, protracted legal battles, and irreparable reputational damage. The willingness of stakeholders to engage constructively, rather than punitively, represents a non-linear return on the ethical capital accumulated through years of fostering trust and mutual </w:t>
      </w:r>
      <w:proofErr w:type="gramStart"/>
      <w:r>
        <w:t>commitment .</w:t>
      </w:r>
      <w:proofErr w:type="gramEnd"/>
      <w:r>
        <w:t xml:space="preserve"> This suggests that ethical principles, when deeply woven into organizational identity and relationships, confer a strategic advantage that manifests most powerfully under stress.</w:t>
      </w:r>
    </w:p>
    <w:p w14:paraId="3269F103" w14:textId="77777777" w:rsidR="00F51EF3" w:rsidRDefault="00000000">
      <w:pPr>
        <w:pStyle w:val="Heading2"/>
      </w:pPr>
      <w:r>
        <w:t>Ethical Risk, Trust Calibration, and Crisis Performance</w:t>
      </w:r>
    </w:p>
    <w:p w14:paraId="254FBD02" w14:textId="77777777" w:rsidR="00F51EF3" w:rsidRDefault="00000000">
      <w:r>
        <w:t xml:space="preserve">The ethical risks associated with AI, including issues of bias, privacy, and accountability, necessitate sophisticated trust calibration mechanisms (Bareis, </w:t>
      </w:r>
      <w:proofErr w:type="gramStart"/>
      <w:r>
        <w:t>2024)(</w:t>
      </w:r>
      <w:proofErr w:type="gramEnd"/>
      <w:r>
        <w:t>n.d.). Organizations must continuously monitor and adjust human-AI trust to ensure it remains appropriate and well-founded, preventing both over-trust and under-trust in AI systems (Hou et al., 2025). This calibration is inherently an ethical process, requiring transparent communication about AI capabilities and limitations, clear governance structures, and a commitment to address ethical shortcomings (</w:t>
      </w:r>
      <w:proofErr w:type="spellStart"/>
      <w:r>
        <w:t>Żywiołek</w:t>
      </w:r>
      <w:proofErr w:type="spellEnd"/>
      <w:r>
        <w:t>, 2024).</w:t>
      </w:r>
    </w:p>
    <w:p w14:paraId="7F12C30D" w14:textId="77777777" w:rsidR="00F51EF3" w:rsidRDefault="00000000">
      <w:r>
        <w:t xml:space="preserve">Effective trust calibration directly influences crisis performance. When an organization has a well-calibrated trust in its AI systems and its human operators, and when its stakeholders have confidence in the organization's ethical stance regarding AI, it is better equipped to respond to crises (Hou et al., 2025). For example, during a service outage caused by an AI malfunction, a company with high identity fusion and strong relational contracts might see employees proactively working together to find solutions, while customers remain loyal due to established </w:t>
      </w:r>
      <w:r>
        <w:lastRenderedPageBreak/>
        <w:t xml:space="preserve">trust (Vanhala et al., 2016). This collective response, fueled by deep-seated commitment and informal agreements, translates into enhanced crisis performance—reduced downtime, faster recovery, and minimized long-term </w:t>
      </w:r>
      <w:proofErr w:type="gramStart"/>
      <w:r>
        <w:t>damage .</w:t>
      </w:r>
      <w:proofErr w:type="gramEnd"/>
      <w:r>
        <w:t xml:space="preserve"> The non-linear aspect is evident: the cumulative effect of robust identity fusion and relational contracts, cultivated through consistent ethical practice and careful trust calibration, yields </w:t>
      </w:r>
      <w:proofErr w:type="gramStart"/>
      <w:r>
        <w:t>returns</w:t>
      </w:r>
      <w:proofErr w:type="gramEnd"/>
      <w:r>
        <w:t xml:space="preserve"> during crises that far exceed the sum of individual contributions, fundamentally altering the trajectory of recovery and future success (Gibbons &amp; Henderson, 2012).</w:t>
      </w:r>
    </w:p>
    <w:p w14:paraId="0DD1B4F3" w14:textId="77777777" w:rsidR="00F51EF3" w:rsidRDefault="00000000">
      <w:pPr>
        <w:pStyle w:val="Heading1"/>
      </w:pPr>
      <w:r>
        <w:t>Integrating Core Code Theory into Organizational Ethics for the Age of AI</w:t>
      </w:r>
    </w:p>
    <w:p w14:paraId="41177F0E" w14:textId="77777777" w:rsidR="00F51EF3" w:rsidRDefault="00000000">
      <w:r>
        <w:t>The "Core Code Theory" provides a robust framework for understanding and navigating the ethical complexities of organizations in an AI-driven world. By integrating identity fusion, organizational trust, and relational contracts, this theory offers a path towards enhanced ethical resilience and non-linear crisis returns.</w:t>
      </w:r>
    </w:p>
    <w:p w14:paraId="3D721F71" w14:textId="77777777" w:rsidR="00F51EF3" w:rsidRDefault="00000000">
      <w:pPr>
        <w:pStyle w:val="Heading2"/>
      </w:pPr>
      <w:r>
        <w:t>Synthesis: Towards a New Framework for Trust and Identity Fusion</w:t>
      </w:r>
    </w:p>
    <w:p w14:paraId="5E2D0658" w14:textId="77777777" w:rsidR="00F51EF3" w:rsidRDefault="00000000">
      <w:r>
        <w:t xml:space="preserve">The synthesis of identity fusion, organizational trust, and relational contracts forms a coherent "Core Code Theory" that explains how organizations can achieve exceptional resilience and ethical performance in the AI era. Identity fusion, characterized by a deep sense of oneness with the group, energizes individuals to act self-sacrificially for the organization (Swann et al., 2009). This profound connection is sustained and reinforced by high levels of organizational trust, both impersonal (in systems and policies) and interpersonal (in leadership and colleagues) (Vanhala et al., </w:t>
      </w:r>
      <w:proofErr w:type="gramStart"/>
      <w:r>
        <w:t>2016)(</w:t>
      </w:r>
      <w:proofErr w:type="gramEnd"/>
      <w:r>
        <w:t>n.d.-a). Furthermore, relational contracts, which are informal agreements built on this foundation of trust and mutual commitment, provide the flexibility and adaptability necessary to navigate unforeseen challenges (Chuang et al., 2019).</w:t>
      </w:r>
    </w:p>
    <w:p w14:paraId="00594513" w14:textId="77777777" w:rsidR="00F51EF3" w:rsidRDefault="00000000">
      <w:r>
        <w:t xml:space="preserve">In the age of AI, this framework requires careful consideration of how AI technologies interact with these core elements. Ethical AI governance, transparency, and accountability are essential for maintaining and enhancing trust, thereby preserving the conditions for identity fusion (Bareis, </w:t>
      </w:r>
      <w:proofErr w:type="gramStart"/>
      <w:r>
        <w:t>2024)(</w:t>
      </w:r>
      <w:proofErr w:type="spellStart"/>
      <w:proofErr w:type="gramEnd"/>
      <w:r>
        <w:t>Żywiołek</w:t>
      </w:r>
      <w:proofErr w:type="spellEnd"/>
      <w:r>
        <w:t>, 2024). AI systems, when ethically designed and deployed, can support relational contracting by improving communication and facilitating coordination, without undermining the human element of trust (Park et al., 2022). The new framework posits that organizations that proactively manage these interconnected elements—fostering deep identity, cultivating pervasive trust, and leveraging flexible relational contracts—will exhibit extraordinary capabilities during crises, generating non-linear positive returns that significantly outperform competitors lacking such integration (Gibbons &amp; Henderson, 2012).</w:t>
      </w:r>
    </w:p>
    <w:p w14:paraId="7BBB9AFA" w14:textId="77777777" w:rsidR="00F51EF3" w:rsidRDefault="00000000">
      <w:pPr>
        <w:pStyle w:val="Heading2"/>
      </w:pPr>
      <w:r>
        <w:t>Implications for Business Ethics Theory and Practice</w:t>
      </w:r>
    </w:p>
    <w:p w14:paraId="6735680C" w14:textId="77777777" w:rsidR="00F51EF3" w:rsidRDefault="00000000">
      <w:r>
        <w:t xml:space="preserve">The "Core Code Theory" has substantial implications for business ethics theory and practice. For theory, it suggests a more integrated understanding of organizational resilience, moving beyond purely structural or financial considerations to emphasize the profound impact of socio-psychological and relational dynamics. It calls for a deeper exploration into how ethical leadership and organizational values contribute to identity fusion and the strength of relational </w:t>
      </w:r>
      <w:r>
        <w:lastRenderedPageBreak/>
        <w:t>contracts, particularly in environments transformed by AI (Huang et al., 2021). Future research could investigate the specific ethical interventions that foster identity fusion without leading to problematic groupthink or blind loyalty (Reese &amp; Whitehouse, 2021).</w:t>
      </w:r>
    </w:p>
    <w:p w14:paraId="06E58CEC" w14:textId="77777777" w:rsidR="00F51EF3" w:rsidRDefault="00000000">
      <w:r>
        <w:t>For practice, the theory offers actionable insights. Organizations should prioritize investments in building a strong, shared ethical identity that resonates deeply with employees, fostering identity fusion through meaningful work and transparent communication (Afshari, 2021</w:t>
      </w:r>
      <w:proofErr w:type="gramStart"/>
      <w:r>
        <w:t>) .</w:t>
      </w:r>
      <w:proofErr w:type="gramEnd"/>
      <w:r>
        <w:t xml:space="preserve"> This includes implementing robust ethical governance frameworks for AI, ensuring transparency, accountability, and fairness in all AI applications (n.d.). Furthermore, leaders must actively cultivate and nurture relational contracts across all levels of the organization and with external partners, recognizing these informal agreements as critical sources of capability, especially during crises (Chuang et al., 2019). This involves fostering open communication, demonstrating flexibility, and consistently acting with integrity to build and maintain trust (Gallus et al., 2022). By strategically integrating these elements, organizations can not only mitigate ethical risks posed by AI but also transform crises into opportunities for enhanced ethical standing and sustained success, securing non-linear returns on their ethical investments.</w:t>
      </w:r>
    </w:p>
    <w:p w14:paraId="2F5BF72D" w14:textId="77777777" w:rsidR="00F51EF3" w:rsidRDefault="00000000">
      <w:pPr>
        <w:pStyle w:val="Heading1"/>
      </w:pPr>
      <w:r>
        <w:t>Conclusion</w:t>
      </w:r>
    </w:p>
    <w:p w14:paraId="76265116" w14:textId="77777777" w:rsidR="00F51EF3" w:rsidRDefault="00000000">
      <w:r>
        <w:t>The pervasive integration of AI technologies presents both unprecedented opportunities and significant ethical challenges for modern organizations. This essay introduces the "Core Code Theory," which posits that the synergistic interplay of identity fusion, organizational trust, and relational contracts generates non-linear crisis returns, particularly in an AI-augmented environment. Identity fusion provides a deep psychological connection that motivates extreme pro-group behavior, while robust organizational trust underpins collective action and commitment. Relational contracts, built on this foundation of trust, offer unparalleled flexibility and adaptability during unforeseen disruptions, allowing organizations to navigate complexity beyond the confines of formal agreements.</w:t>
      </w:r>
    </w:p>
    <w:p w14:paraId="3701ADBB" w14:textId="77777777" w:rsidR="00F51EF3" w:rsidRDefault="00000000">
      <w:r>
        <w:t>The ethical implications of this theory are profound. Organizations that prioritize ethical AI development, ensure transparency, and foster accountability cultivate an environment where trust can flourish, thereby strengthening identity fusion and reinforcing relational contracts. Conversely, a failure to address AI's ethical dimensions risks eroding these foundational elements, leaving organizations vulnerable to exacerbated crisis outcomes. The non-linear nature of these returns underscores the strategic imperative of investing in ethical capital. During periods of organizational stress or crisis, the benefits derived from deeply embedded ethical practices, strong collective identity, and flexible relational agreements are not merely additive; they multiply, enabling organizations to recover more effectively, maintain stakeholder loyalty, and even emerge stronger. As AI continues to reshape the organizational landscape, the "Core Code Theory" offers a critical framework for building ethically resilient organizations capable of converting adversity into disproportionate advantage.</w:t>
      </w:r>
    </w:p>
    <w:p w14:paraId="5672B89F" w14:textId="77777777" w:rsidR="00F51EF3" w:rsidRDefault="00000000">
      <w:pPr>
        <w:pStyle w:val="Heading2"/>
      </w:pPr>
      <w:r>
        <w:t>References</w:t>
      </w:r>
    </w:p>
    <w:p w14:paraId="0A2195DD" w14:textId="77777777" w:rsidR="00F51EF3" w:rsidRDefault="00000000">
      <w:r>
        <w:t xml:space="preserve">Bareis, J. (2024). The </w:t>
      </w:r>
      <w:proofErr w:type="spellStart"/>
      <w:r>
        <w:t>trustification</w:t>
      </w:r>
      <w:proofErr w:type="spellEnd"/>
      <w:r>
        <w:t xml:space="preserve"> of AI. Disclosing the bridging pillars that tie trust and AI together. In </w:t>
      </w:r>
      <w:r>
        <w:rPr>
          <w:i/>
        </w:rPr>
        <w:t>Big Data &amp; Society</w:t>
      </w:r>
      <w:r>
        <w:t xml:space="preserve"> (Vol. 11, Issue 2). SAGE Publications. https://doi.org/10.1177/20539517241249430</w:t>
      </w:r>
    </w:p>
    <w:p w14:paraId="457EFA8E" w14:textId="77777777" w:rsidR="00F51EF3" w:rsidRDefault="00000000">
      <w:r>
        <w:t xml:space="preserve">Chuang, E., McBeath, B., </w:t>
      </w:r>
      <w:proofErr w:type="spellStart"/>
      <w:r>
        <w:t>Carnochan</w:t>
      </w:r>
      <w:proofErr w:type="spellEnd"/>
      <w:r>
        <w:t xml:space="preserve">, S., &amp; Austin, M. J. (2019). Relational Mechanisms in Complex Contracting: Factors Associated with Private Managers’ Satisfaction with and </w:t>
      </w:r>
      <w:r>
        <w:lastRenderedPageBreak/>
        <w:t xml:space="preserve">Commitment to the Contract Relationship. In </w:t>
      </w:r>
      <w:r>
        <w:rPr>
          <w:i/>
        </w:rPr>
        <w:t>Journal of Public Administration Research and Theory</w:t>
      </w:r>
      <w:r>
        <w:t xml:space="preserve"> (Vol. 30, Issue 2, pp. 257–274). Oxford University Press (OUP). https://doi.org/10.1093/jopart/muz021</w:t>
      </w:r>
    </w:p>
    <w:p w14:paraId="335EE710" w14:textId="77777777" w:rsidR="00F51EF3" w:rsidRDefault="00000000">
      <w:r>
        <w:t>(N.d.-a). https://doi.org/10.48550/arXiv.2401.10896</w:t>
      </w:r>
    </w:p>
    <w:p w14:paraId="5AD3239B" w14:textId="77777777" w:rsidR="00F51EF3" w:rsidRDefault="00000000">
      <w:proofErr w:type="spellStart"/>
      <w:r>
        <w:t>Żywiołek</w:t>
      </w:r>
      <w:proofErr w:type="spellEnd"/>
      <w:r>
        <w:t xml:space="preserve">, J. (2024). Building Trust in AI-Human Partnerships: Exploring Preferences and Influences in the Manufacturing Industry. In </w:t>
      </w:r>
      <w:r>
        <w:rPr>
          <w:i/>
        </w:rPr>
        <w:t>Management Systems in Production Engineering</w:t>
      </w:r>
      <w:r>
        <w:t xml:space="preserve"> (Vol. 32, Issue 2, pp. 244–251). Walter de Gruyter GmbH. https://doi.org/10.2478/mspe-2024-0024</w:t>
      </w:r>
    </w:p>
    <w:p w14:paraId="7109E67E" w14:textId="77777777" w:rsidR="00F51EF3" w:rsidRDefault="00000000">
      <w:r>
        <w:t xml:space="preserve">Swann, W. B., Gómez, Á., Seyle, D. C., Morales, J. F., &amp; </w:t>
      </w:r>
      <w:proofErr w:type="spellStart"/>
      <w:r>
        <w:t>Huici</w:t>
      </w:r>
      <w:proofErr w:type="spellEnd"/>
      <w:r>
        <w:t xml:space="preserve">, C. (2009). Identity fusion: The interplay of personal and social identities in extreme group behavior. In </w:t>
      </w:r>
      <w:r>
        <w:rPr>
          <w:i/>
        </w:rPr>
        <w:t>Journal of Personality and Social Psychology</w:t>
      </w:r>
      <w:r>
        <w:t xml:space="preserve"> (Vol. 96, Issue 5, pp. 995–1011). American Psychological Association (APA). https://doi.org/10.1037/a0013668</w:t>
      </w:r>
    </w:p>
    <w:p w14:paraId="23DC7346" w14:textId="77777777" w:rsidR="00F51EF3" w:rsidRDefault="00000000">
      <w:r>
        <w:t xml:space="preserve">Reese, E., &amp; Whitehouse, H. (2021). The Development of Identity Fusion. In </w:t>
      </w:r>
      <w:r>
        <w:rPr>
          <w:i/>
        </w:rPr>
        <w:t>Perspectives on Psychological Science</w:t>
      </w:r>
      <w:r>
        <w:t xml:space="preserve"> (Vol. 16, Issue 6, pp. 1398–1411). SAGE Publications. https://doi.org/10.1177/1745691620968761</w:t>
      </w:r>
    </w:p>
    <w:p w14:paraId="5B3F15E0" w14:textId="77777777" w:rsidR="00F51EF3" w:rsidRDefault="00000000">
      <w:r>
        <w:t xml:space="preserve">Afshari, L. (2021). Identification through meaning-making: identity enactment towards organizational commitment. In </w:t>
      </w:r>
      <w:r>
        <w:rPr>
          <w:i/>
        </w:rPr>
        <w:t>Human Resource Development International</w:t>
      </w:r>
      <w:r>
        <w:t xml:space="preserve"> (Vol. 26, Issue 1, pp. 7–28). Informa UK Limited. https://doi.org/10.1080/13678868.2021.1996171</w:t>
      </w:r>
    </w:p>
    <w:p w14:paraId="1E371D3A" w14:textId="77777777" w:rsidR="00F51EF3" w:rsidRDefault="00000000">
      <w:r>
        <w:t xml:space="preserve">Wenzel, M., Cornelissen, J. P., Koch, J., Hartmann, M., &amp; Rauch, M. (2019). (Un)Mind the gap: How organizational actors cope with an identity–strategy misalignment. In </w:t>
      </w:r>
      <w:r>
        <w:rPr>
          <w:i/>
        </w:rPr>
        <w:t>Strategic Organization</w:t>
      </w:r>
      <w:r>
        <w:t xml:space="preserve"> (Vol. 18, Issue 1, pp. 212–244). SAGE Publications. https://doi.org/10.1177/1476127019856524</w:t>
      </w:r>
    </w:p>
    <w:p w14:paraId="4368EE4C" w14:textId="77777777" w:rsidR="00F51EF3" w:rsidRDefault="00000000">
      <w:r>
        <w:t xml:space="preserve">Huang, N., Qiu, S., Yang, S., &amp; Deng, R. (2021). Ethical Leadership and Organizational Citizenship Behavior: Mediation of Trust and Psychological Well-Being. In </w:t>
      </w:r>
      <w:r>
        <w:rPr>
          <w:i/>
        </w:rPr>
        <w:t>Psychology Research and Behavior Management: Vol. Volume 14</w:t>
      </w:r>
      <w:r>
        <w:t xml:space="preserve"> (pp. 655–664). Informa UK Limited. https://doi.org/10.2147/prbm.s311856</w:t>
      </w:r>
    </w:p>
    <w:p w14:paraId="2B8AA43D" w14:textId="77777777" w:rsidR="00F51EF3" w:rsidRDefault="00000000">
      <w:r>
        <w:t>(N.d.-b).</w:t>
      </w:r>
    </w:p>
    <w:p w14:paraId="00CB8EB5" w14:textId="77777777" w:rsidR="00F51EF3" w:rsidRDefault="00000000">
      <w:r>
        <w:t xml:space="preserve">Vanhala, M., Heilmann, P., &amp; Salminen, H. (2016). Organizational Trust Dimensions as Antecedents of Organizational Commitment. In </w:t>
      </w:r>
      <w:r>
        <w:rPr>
          <w:i/>
        </w:rPr>
        <w:t>Knowledge and Process Management</w:t>
      </w:r>
      <w:r>
        <w:t xml:space="preserve"> (Vol. 23, Issue 1, pp. 46–61). Wiley. https://doi.org/10.1002/kpm.1497</w:t>
      </w:r>
    </w:p>
    <w:p w14:paraId="1C2E615D" w14:textId="77777777" w:rsidR="00F51EF3" w:rsidRDefault="00000000">
      <w:r>
        <w:t xml:space="preserve">Gilbert, J. A., &amp; Tang, T. L.-P. (1998). An Examination of Organizational Trust Antecedents. In </w:t>
      </w:r>
      <w:r>
        <w:rPr>
          <w:i/>
        </w:rPr>
        <w:t>Public Personnel Management</w:t>
      </w:r>
      <w:r>
        <w:t xml:space="preserve"> (Vol. 27, Issue 3, pp. 321–338). SAGE Publications. https://doi.org/10.1177/009102609802700303</w:t>
      </w:r>
    </w:p>
    <w:p w14:paraId="3A59FBB0" w14:textId="77777777" w:rsidR="00F51EF3" w:rsidRDefault="00000000">
      <w:r>
        <w:t xml:space="preserve">Lee, Y., &amp; Li, J. Q. (2021). The role of communication transparency and organizational trust in publics’ perceptions, attitudes and social distancing </w:t>
      </w:r>
      <w:proofErr w:type="spellStart"/>
      <w:r>
        <w:t>behaviour</w:t>
      </w:r>
      <w:proofErr w:type="spellEnd"/>
      <w:r>
        <w:t xml:space="preserve">: A case study of the COVID‐19 outbreak. In </w:t>
      </w:r>
      <w:r>
        <w:rPr>
          <w:i/>
        </w:rPr>
        <w:t>Journal of Contingencies and Crisis Management</w:t>
      </w:r>
      <w:r>
        <w:t xml:space="preserve"> (Vol. 29, Issue 4, pp. 368–384). Wiley. https://doi.org/10.1111/1468-5973.12354</w:t>
      </w:r>
    </w:p>
    <w:p w14:paraId="2919582E" w14:textId="77777777" w:rsidR="00F51EF3" w:rsidRDefault="00000000">
      <w:r>
        <w:t xml:space="preserve">Gibbons, R., &amp; Henderson, R. (2012). Relational Contracts and Organizational Capabilities. In </w:t>
      </w:r>
      <w:r>
        <w:rPr>
          <w:i/>
        </w:rPr>
        <w:t>Organization Science</w:t>
      </w:r>
      <w:r>
        <w:t xml:space="preserve"> (Vol. 23, Issue 5, pp. 1350–1364). Institute for Operations Research and the Management Sciences (INFORMS). https://doi.org/10.1287/orsc.1110.0715</w:t>
      </w:r>
    </w:p>
    <w:p w14:paraId="4C58B8A6" w14:textId="77777777" w:rsidR="00F51EF3" w:rsidRDefault="00000000">
      <w:r>
        <w:t xml:space="preserve">Brown, M., Falk, A., &amp; Fehr, E. (2004). Relational Contracts and the Nature of Market Interactions. In </w:t>
      </w:r>
      <w:proofErr w:type="spellStart"/>
      <w:r>
        <w:rPr>
          <w:i/>
        </w:rPr>
        <w:t>Econometrica</w:t>
      </w:r>
      <w:proofErr w:type="spellEnd"/>
      <w:r>
        <w:t xml:space="preserve"> (Vol. 72, Issue 3, pp. 747–780). The Econometric Society. https://doi.org/10.1111/j.1468-0262.2004.00511.x</w:t>
      </w:r>
    </w:p>
    <w:p w14:paraId="02B08D47" w14:textId="77777777" w:rsidR="00F51EF3" w:rsidRDefault="00000000">
      <w:r>
        <w:lastRenderedPageBreak/>
        <w:t xml:space="preserve">Gallus, J., Reiff, J., </w:t>
      </w:r>
      <w:proofErr w:type="spellStart"/>
      <w:r>
        <w:t>Kamenica</w:t>
      </w:r>
      <w:proofErr w:type="spellEnd"/>
      <w:r>
        <w:t xml:space="preserve">, E., &amp; Fiske, A. P. (2022). Relational incentives theory. In </w:t>
      </w:r>
      <w:r>
        <w:rPr>
          <w:i/>
        </w:rPr>
        <w:t>Psychological Review</w:t>
      </w:r>
      <w:r>
        <w:t xml:space="preserve"> (Vol. 129, Issue 3, pp. 586–602). American Psychological Association (APA). https://doi.org/10.1037/rev0000336</w:t>
      </w:r>
    </w:p>
    <w:p w14:paraId="4A288F85" w14:textId="77777777" w:rsidR="00F51EF3" w:rsidRDefault="00000000">
      <w:r>
        <w:t xml:space="preserve">Hou, M., Banbury, S., Cain, B., Fang, S., Willoughby, H., Foley, L., </w:t>
      </w:r>
      <w:proofErr w:type="spellStart"/>
      <w:r>
        <w:t>Tunstel</w:t>
      </w:r>
      <w:proofErr w:type="spellEnd"/>
      <w:r>
        <w:t xml:space="preserve">, E., &amp; Rudas, I. J. (2025). IMPACTS Homeostasis Trust Management System: Optimizing Trust in Human-AI Teams. In </w:t>
      </w:r>
      <w:r>
        <w:rPr>
          <w:i/>
        </w:rPr>
        <w:t>ACM Computing Surveys</w:t>
      </w:r>
      <w:r>
        <w:t xml:space="preserve"> (Vol. 57, Issue 6, pp. 1–24). Association for Computing Machinery (ACM). https://doi.org/10.1145/3649446</w:t>
      </w:r>
    </w:p>
    <w:p w14:paraId="1116BA09" w14:textId="77777777" w:rsidR="00F51EF3" w:rsidRDefault="00000000">
      <w:r>
        <w:t xml:space="preserve">Park, G., Yim, M. C., Chung, J., &amp; Lee, S. (2022). Effect of AI chatbot empathy and identity disclosure on willingness to donate: the mediation of humanness and social presence. In </w:t>
      </w:r>
      <w:proofErr w:type="spellStart"/>
      <w:r>
        <w:rPr>
          <w:i/>
        </w:rPr>
        <w:t>Behaviour</w:t>
      </w:r>
      <w:proofErr w:type="spellEnd"/>
      <w:r>
        <w:rPr>
          <w:i/>
        </w:rPr>
        <w:t xml:space="preserve"> &amp; Information Technology</w:t>
      </w:r>
      <w:r>
        <w:t xml:space="preserve"> (Vol. 42, Issue 12, pp. 1998–2010). Informa UK Limited. https://doi.org/10.1080/0144929x.2022.2105746</w:t>
      </w:r>
    </w:p>
    <w:p w14:paraId="2FEBB826" w14:textId="77777777" w:rsidR="00F51EF3" w:rsidRDefault="00000000">
      <w:r>
        <w:t xml:space="preserve">Methot, J. R., Rosado-Solomon, E. H., &amp; Allen, D. G. (2018). The Network Architecture of Human </w:t>
      </w:r>
      <w:proofErr w:type="spellStart"/>
      <w:r>
        <w:t>Captial</w:t>
      </w:r>
      <w:proofErr w:type="spellEnd"/>
      <w:r>
        <w:t xml:space="preserve">: A Relational Identity Perspective. In </w:t>
      </w:r>
      <w:r>
        <w:rPr>
          <w:i/>
        </w:rPr>
        <w:t>Academy of Management Review</w:t>
      </w:r>
      <w:r>
        <w:t xml:space="preserve"> (Vol. 43, Issue 4, pp. 723–748). Academy of Management. https://doi.org/10.5465/amr.2016.0338</w:t>
      </w:r>
    </w:p>
    <w:p w14:paraId="01044B39" w14:textId="77777777" w:rsidR="00F51EF3" w:rsidRDefault="00000000">
      <w:r>
        <w:t xml:space="preserve">Brown, A. D. (2021). Identities in and around organizations: Towards an identity work perspective. In </w:t>
      </w:r>
      <w:r>
        <w:rPr>
          <w:i/>
        </w:rPr>
        <w:t>Human Relations</w:t>
      </w:r>
      <w:r>
        <w:t xml:space="preserve"> (Vol. 75, Issue 7, pp. 1205–1237). SAGE Publications. https://doi.org/10.1177/0018726721993910</w:t>
      </w:r>
    </w:p>
    <w:p w14:paraId="1CC66CC7" w14:textId="77777777" w:rsidR="00F51EF3" w:rsidRDefault="00000000">
      <w:r>
        <w:t>(N.d.-c).</w:t>
      </w:r>
    </w:p>
    <w:sectPr w:rsidR="00F51EF3">
      <w:footerReference w:type="default" r:id="rId6"/>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02D4A" w14:textId="77777777" w:rsidR="00F0250E" w:rsidRDefault="00F0250E">
      <w:pPr>
        <w:spacing w:after="0" w:line="240" w:lineRule="auto"/>
      </w:pPr>
      <w:r>
        <w:separator/>
      </w:r>
    </w:p>
  </w:endnote>
  <w:endnote w:type="continuationSeparator" w:id="0">
    <w:p w14:paraId="451E0A98" w14:textId="77777777" w:rsidR="00F0250E" w:rsidRDefault="00F02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E9519" w14:textId="77777777" w:rsidR="00F51EF3" w:rsidRDefault="00000000">
    <w:r>
      <w:fldChar w:fldCharType="begin"/>
    </w:r>
    <w:r>
      <w:instrText>PAGE</w:instrText>
    </w:r>
    <w:r>
      <w:fldChar w:fldCharType="separate"/>
    </w:r>
    <w:r w:rsidR="000D3F1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B2B47" w14:textId="77777777" w:rsidR="00F0250E" w:rsidRDefault="00F0250E">
      <w:pPr>
        <w:spacing w:after="0" w:line="240" w:lineRule="auto"/>
      </w:pPr>
      <w:r>
        <w:separator/>
      </w:r>
    </w:p>
  </w:footnote>
  <w:footnote w:type="continuationSeparator" w:id="0">
    <w:p w14:paraId="525E5101" w14:textId="77777777" w:rsidR="00F0250E" w:rsidRDefault="00F0250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1EF3"/>
    <w:rsid w:val="000B2919"/>
    <w:rsid w:val="000D3F12"/>
    <w:rsid w:val="00F0250E"/>
    <w:rsid w:val="00F51EF3"/>
    <w:rsid w:val="00FB1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B406AB3"/>
  <w15:docId w15:val="{BF02B574-D486-1042-AABF-A7911FA8A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keepNext/>
      <w:keepLines/>
      <w:spacing w:before="480"/>
      <w:outlineLvl w:val="0"/>
    </w:pPr>
    <w:rPr>
      <w:b/>
      <w:sz w:val="48"/>
      <w:szCs w:val="48"/>
    </w:rPr>
  </w:style>
  <w:style w:type="paragraph" w:styleId="Heading2">
    <w:name w:val="heading 2"/>
    <w:uiPriority w:val="9"/>
    <w:unhideWhenUsed/>
    <w:qFormat/>
    <w:pPr>
      <w:keepNext/>
      <w:keepLines/>
      <w:spacing w:before="360" w:after="80"/>
      <w:outlineLvl w:val="1"/>
    </w:pPr>
    <w:rPr>
      <w:b/>
      <w:sz w:val="36"/>
      <w:szCs w:val="36"/>
    </w:rPr>
  </w:style>
  <w:style w:type="paragraph" w:styleId="Heading3">
    <w:name w:val="heading 3"/>
    <w:uiPriority w:val="9"/>
    <w:semiHidden/>
    <w:unhideWhenUsed/>
    <w:qFormat/>
    <w:pPr>
      <w:keepNext/>
      <w:keepLines/>
      <w:spacing w:before="280" w:after="80"/>
      <w:outlineLvl w:val="2"/>
    </w:pPr>
    <w:rPr>
      <w:b/>
      <w:sz w:val="28"/>
      <w:szCs w:val="28"/>
    </w:rPr>
  </w:style>
  <w:style w:type="paragraph" w:styleId="Heading4">
    <w:name w:val="heading 4"/>
    <w:uiPriority w:val="9"/>
    <w:semiHidden/>
    <w:unhideWhenUsed/>
    <w:qFormat/>
    <w:pPr>
      <w:keepNext/>
      <w:keepLines/>
      <w:spacing w:before="240" w:after="40"/>
      <w:outlineLvl w:val="3"/>
    </w:pPr>
    <w:rPr>
      <w:b/>
      <w:sz w:val="24"/>
      <w:szCs w:val="24"/>
    </w:rPr>
  </w:style>
  <w:style w:type="paragraph" w:styleId="Heading5">
    <w:name w:val="heading 5"/>
    <w:uiPriority w:val="9"/>
    <w:semiHidden/>
    <w:unhideWhenUsed/>
    <w:qFormat/>
    <w:pPr>
      <w:keepNext/>
      <w:keepLines/>
      <w:spacing w:before="220" w:after="40"/>
      <w:outlineLvl w:val="4"/>
    </w:pPr>
    <w:rPr>
      <w:b/>
    </w:rPr>
  </w:style>
  <w:style w:type="paragraph" w:styleId="Heading6">
    <w:name w:val="heading 6"/>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5195</Words>
  <Characters>33971</Characters>
  <Application>Microsoft Office Word</Application>
  <DocSecurity>0</DocSecurity>
  <Lines>474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Tong Yin</cp:lastModifiedBy>
  <cp:revision>2</cp:revision>
  <dcterms:created xsi:type="dcterms:W3CDTF">2026-02-26T21:25:00Z</dcterms:created>
  <dcterms:modified xsi:type="dcterms:W3CDTF">2026-02-26T21:25:00Z</dcterms:modified>
</cp:coreProperties>
</file>