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A1770" w14:textId="77777777" w:rsidR="008721E8" w:rsidRDefault="008721E8">
      <w:pPr>
        <w:spacing w:line="480" w:lineRule="auto"/>
      </w:pPr>
    </w:p>
    <w:p w14:paraId="1D21EE65" w14:textId="77777777" w:rsidR="008721E8" w:rsidRDefault="008721E8">
      <w:pPr>
        <w:spacing w:line="480" w:lineRule="auto"/>
      </w:pPr>
    </w:p>
    <w:p w14:paraId="39C34FD7" w14:textId="77777777" w:rsidR="008721E8" w:rsidRDefault="008721E8">
      <w:pPr>
        <w:spacing w:line="480" w:lineRule="auto"/>
      </w:pPr>
    </w:p>
    <w:p w14:paraId="14DAB8F5" w14:textId="77777777" w:rsidR="008721E8" w:rsidRDefault="008721E8">
      <w:pPr>
        <w:spacing w:line="480" w:lineRule="auto"/>
      </w:pPr>
    </w:p>
    <w:p w14:paraId="25F65E48" w14:textId="77777777" w:rsidR="008721E8" w:rsidRDefault="00000000">
      <w:pPr>
        <w:spacing w:after="240" w:line="480" w:lineRule="auto"/>
        <w:jc w:val="center"/>
      </w:pPr>
      <w:r>
        <w:rPr>
          <w:b/>
          <w:bCs/>
          <w:sz w:val="28"/>
          <w:szCs w:val="28"/>
        </w:rPr>
        <w:t>Beyond Chaos: A Dynamic Driver Replacement Theory</w:t>
      </w:r>
    </w:p>
    <w:p w14:paraId="778BAA5F" w14:textId="77777777" w:rsidR="008721E8" w:rsidRDefault="00000000">
      <w:pPr>
        <w:spacing w:after="240" w:line="480" w:lineRule="auto"/>
        <w:jc w:val="center"/>
      </w:pPr>
      <w:r>
        <w:rPr>
          <w:b/>
          <w:bCs/>
          <w:sz w:val="28"/>
          <w:szCs w:val="28"/>
        </w:rPr>
        <w:t>of Corporate Growth, Crisis, and Governance</w:t>
      </w:r>
    </w:p>
    <w:p w14:paraId="441403E2" w14:textId="77777777" w:rsidR="008721E8" w:rsidRDefault="008721E8">
      <w:pPr>
        <w:spacing w:line="480" w:lineRule="auto"/>
      </w:pPr>
    </w:p>
    <w:p w14:paraId="4EE5DB3A" w14:textId="77777777" w:rsidR="008721E8" w:rsidRDefault="008721E8">
      <w:pPr>
        <w:spacing w:line="480" w:lineRule="auto"/>
      </w:pPr>
    </w:p>
    <w:p w14:paraId="63183003" w14:textId="77777777" w:rsidR="008721E8" w:rsidRDefault="00000000">
      <w:pPr>
        <w:spacing w:line="480" w:lineRule="auto"/>
        <w:jc w:val="center"/>
      </w:pPr>
      <w:r>
        <w:rPr>
          <w:i/>
          <w:iCs/>
        </w:rPr>
        <w:t>[Author information removed for anonymous review]</w:t>
      </w:r>
    </w:p>
    <w:p w14:paraId="31F6CB2B" w14:textId="77777777" w:rsidR="008721E8" w:rsidRDefault="008721E8">
      <w:pPr>
        <w:spacing w:line="480" w:lineRule="auto"/>
      </w:pPr>
    </w:p>
    <w:p w14:paraId="63DCEF8F" w14:textId="77777777" w:rsidR="008721E8" w:rsidRDefault="008721E8">
      <w:pPr>
        <w:spacing w:line="480" w:lineRule="auto"/>
      </w:pPr>
    </w:p>
    <w:p w14:paraId="2DDF30F8" w14:textId="77777777" w:rsidR="008721E8" w:rsidRDefault="00000000">
      <w:pPr>
        <w:spacing w:line="480" w:lineRule="auto"/>
        <w:jc w:val="center"/>
      </w:pPr>
      <w:r>
        <w:rPr>
          <w:i/>
          <w:iCs/>
        </w:rPr>
        <w:t>Manuscript submitted to Strategic Organization</w:t>
      </w:r>
    </w:p>
    <w:p w14:paraId="666662C6" w14:textId="77777777" w:rsidR="008721E8" w:rsidRDefault="008721E8">
      <w:pPr>
        <w:spacing w:line="480" w:lineRule="auto"/>
      </w:pPr>
    </w:p>
    <w:p w14:paraId="00E8271E" w14:textId="77777777" w:rsidR="008721E8" w:rsidRDefault="00000000">
      <w:pPr>
        <w:spacing w:line="480" w:lineRule="auto"/>
        <w:jc w:val="center"/>
      </w:pPr>
      <w:r>
        <w:rPr>
          <w:i/>
          <w:iCs/>
        </w:rPr>
        <w:t>Word count: approximately 9,800 (including references, figures, and tables)</w:t>
      </w:r>
    </w:p>
    <w:p w14:paraId="65314D90" w14:textId="77777777" w:rsidR="008721E8" w:rsidRDefault="00000000">
      <w:r>
        <w:br w:type="page"/>
      </w:r>
    </w:p>
    <w:p w14:paraId="2F7978D6" w14:textId="77777777" w:rsidR="008721E8" w:rsidRDefault="00000000">
      <w:pPr>
        <w:spacing w:before="480" w:after="240" w:line="480" w:lineRule="auto"/>
        <w:jc w:val="center"/>
      </w:pPr>
      <w:r>
        <w:rPr>
          <w:b/>
          <w:bCs/>
        </w:rPr>
        <w:lastRenderedPageBreak/>
        <w:t>ABSTRACT</w:t>
      </w:r>
    </w:p>
    <w:p w14:paraId="621D81C8" w14:textId="77777777" w:rsidR="008721E8" w:rsidRDefault="00000000">
      <w:pPr>
        <w:spacing w:line="480" w:lineRule="auto"/>
      </w:pPr>
      <w:r>
        <w:t>Why do some high-growth organizations thrive amid operational chaos while others disintegrate under identical conditions? Existing organizational life-cycle (OLC) theories describe stage transitions but do not explain when internal turbulence constitutes a productive growth mechanism and when it signals impending collapse. We develop Dynamic Driver Replacement Theory (DDRT) to address this gap. The theory proposes that firms traverse three developmental domains—Jungle Explosion (α), Scalable Fortification (β), and Enduring Governance (γ)—in which the relative strategic importance of external dividends (product–market advantages) and internal governance (institutional trust, culture, and management quality) systematically shifts. Central to the theory is the Dividend Offset Mechanism: when external dividends are sufficiently strong, internal friction’s negative effects on growth are substantially attenuated, producing what we term vital chaos. As firms mature and external dividends diminish, identical levels of internal friction become destructive—death chaos—because there is no longer an external buffer. Integrating insights from complexity theory, high-growth firm (HGF) research, and management practice scholarship, DDRT specifies the conditions under which operational turbulence helps or harms, formalizes the driver replacement inflection point at which organizations must transition from externally driven growth to internally driven resilience, and introduces the Covenant Governance model as the institutional form best suited to sustaining competitive advantage in the post-dividend stage. We develop eight propositions, discuss boundary conditions, and outline an empirical agenda for future research. The theory contributes to strategic organization scholarship by providing a unified framework connecting firm growth trajectories, internal governance quality, and long-term organizational survival.</w:t>
      </w:r>
    </w:p>
    <w:p w14:paraId="2108BFE8" w14:textId="77777777" w:rsidR="008721E8" w:rsidRDefault="008721E8">
      <w:pPr>
        <w:spacing w:line="480" w:lineRule="auto"/>
      </w:pPr>
    </w:p>
    <w:p w14:paraId="67B6F07C" w14:textId="77777777" w:rsidR="008721E8" w:rsidRDefault="00000000">
      <w:pPr>
        <w:spacing w:line="480" w:lineRule="auto"/>
      </w:pPr>
      <w:r>
        <w:rPr>
          <w:b/>
          <w:bCs/>
        </w:rPr>
        <w:lastRenderedPageBreak/>
        <w:t xml:space="preserve">Keywords: </w:t>
      </w:r>
      <w:r>
        <w:t>organizational life cycle, high-growth firms, complexity theory, management practices, organizational governance, trust, crisis resilience, artificial intelligence</w:t>
      </w:r>
    </w:p>
    <w:p w14:paraId="7034B0A4" w14:textId="77777777" w:rsidR="008721E8" w:rsidRDefault="00000000">
      <w:r>
        <w:br w:type="page"/>
      </w:r>
    </w:p>
    <w:p w14:paraId="30697D7D" w14:textId="77777777" w:rsidR="008721E8" w:rsidRDefault="00000000">
      <w:pPr>
        <w:spacing w:before="480" w:after="240" w:line="480" w:lineRule="auto"/>
        <w:jc w:val="center"/>
      </w:pPr>
      <w:r>
        <w:rPr>
          <w:b/>
          <w:bCs/>
        </w:rPr>
        <w:lastRenderedPageBreak/>
        <w:t>INTRODUCTION</w:t>
      </w:r>
    </w:p>
    <w:p w14:paraId="59FFEC44" w14:textId="77777777" w:rsidR="008721E8" w:rsidRDefault="00000000">
      <w:pPr>
        <w:spacing w:line="480" w:lineRule="auto"/>
      </w:pPr>
      <w:r>
        <w:t>Consider a paradox that existing strategic organization theories cannot adequately resolve. A high-growth technology firm operates in apparent managerial chaos: turnover exceeds 30 percent, formal structures are improvised, role boundaries blur daily, and middle management is nearly absent. Yet the firm grows at four times its industry average, attracts top engineering talent, and outperforms established competitors on every financial metric. Fifteen years later, the same patterns of chaos—high turnover, ad hoc structures, blurred accountability—persist, but the firm is now hemorrhaging talent, losing market position, and approaching insolvency. What changed? The observable “chaos” looks identical on the surface. The outcomes are diametrically opposed.</w:t>
      </w:r>
    </w:p>
    <w:p w14:paraId="4A17CDF6" w14:textId="77777777" w:rsidR="008721E8" w:rsidRDefault="00000000">
      <w:pPr>
        <w:spacing w:line="480" w:lineRule="auto"/>
        <w:ind w:firstLine="720"/>
      </w:pPr>
      <w:r>
        <w:t>This paradox is not hypothetical. It describes a pattern observable across industries and geographies, from aggressive technology startups to manufacturing firms that once dominated their sectors. High-growth firm (HGF) research has documented the phenomenon empirically: firms growing at extraordinary rates often exhibit managerial practices that conventional organization theory would predict should be fatal (Coad, Daunfeldt, Hölzl, Johansson, and Nightingale, 2014; Demir, Wennberg, and McKelvie, 2017). Yet existing frameworks cannot explain the temporal dimension—why the same operational characteristics that accompany explosive growth in one period produce collapse in another.</w:t>
      </w:r>
    </w:p>
    <w:p w14:paraId="0E45275E" w14:textId="77777777" w:rsidR="008721E8" w:rsidRDefault="00000000">
      <w:pPr>
        <w:spacing w:line="480" w:lineRule="auto"/>
        <w:ind w:firstLine="720"/>
      </w:pPr>
      <w:r>
        <w:t xml:space="preserve">Organizational life-cycle (OLC) theory offers a partial explanation. Classic OLC models describe firms moving through discrete developmental stages—from entrepreneurial creation through growth, maturity, and potential decline—with each stage characterized by distinct structural and strategic challenges (Greiner, 1972; Hanks, Watson, Jansen, and Chandler, 1993; Miller and Friesen, 1984). Recent reviews confirm that OLC models converge on two key </w:t>
      </w:r>
      <w:r>
        <w:lastRenderedPageBreak/>
        <w:t>dimensions: relative growth rate and degree of organizational formalization (Habersang, Küberling, Reihlen, and Seckler, 2019). However, these models share a critical limitation: they describe what happens at each stage but do not explain the dynamic mechanism through which the strategic importance of different organizational capabilities shifts across stages. Moreover, OLC theory has been criticized for implicit developmental determinism—assuming organizations follow a fixed sequence of stages—and for insufficient attention to how internal governance and culture shape long-term survival (Levie and Lichtenstein, 2010).</w:t>
      </w:r>
    </w:p>
    <w:p w14:paraId="0E040231" w14:textId="77777777" w:rsidR="008721E8" w:rsidRDefault="00000000">
      <w:pPr>
        <w:spacing w:line="480" w:lineRule="auto"/>
        <w:ind w:firstLine="720"/>
      </w:pPr>
      <w:r>
        <w:t>High-growth firm research provides complementary but similarly incomplete insight. HGF scholarship identifies the drivers of extraordinary growth—product innovation, human capital, strategic orientation, and organizational capabilities—but typically examines these drivers in isolation or in cross-sectional designs that cannot capture how their relative importance changes over time (Coad et al., 2014; Henrekson and Johansson, 2010). Recent large-scale studies show that high-growth firms differ from peers not only in marketing and strategy but also in talent development and culture, suggesting that relational and cultural investments play a role even during growth phases (Hinge Research Institute, 2025). Yet HGF research lacks a unified theoretical framework explaining when internal governance matters, when it does not, and why the same organizational “disorder” can be either vital or lethal depending on context.</w:t>
      </w:r>
    </w:p>
    <w:p w14:paraId="4AD4B863" w14:textId="77777777" w:rsidR="008721E8" w:rsidRDefault="00000000">
      <w:pPr>
        <w:spacing w:line="480" w:lineRule="auto"/>
        <w:ind w:firstLine="720"/>
      </w:pPr>
      <w:r>
        <w:t xml:space="preserve">Complexity theory provides a third relevant lens. Organizations are complex adaptive systems that move between domains of order, complexity, and chaos, each with distinct patterns of causality and controllability (Anderson, 1999; Stacey, 1995). Recent work translates these domains into distinct managerial roles: managing in ordered regimes, facilitating in complex regimes, and preparing in chaotic regimes (Snowden and Boone, 2007). This perspective challenges linear portrayals of organizational development and suggests that apparent “chaos” </w:t>
      </w:r>
      <w:r>
        <w:lastRenderedPageBreak/>
        <w:t>may correspond to different underlying dynamics depending on organizational context. Yet complexity theory has not been systematically integrated with life-cycle thinking to explain when turbulence is productive and when it is destructive, or how organizations should navigate the transition between these states.</w:t>
      </w:r>
    </w:p>
    <w:p w14:paraId="5DB29CB5" w14:textId="77777777" w:rsidR="008721E8" w:rsidRDefault="00000000">
      <w:pPr>
        <w:spacing w:line="480" w:lineRule="auto"/>
        <w:ind w:firstLine="720"/>
      </w:pPr>
      <w:r>
        <w:t>Management practice research offers a fourth thread. The World Management Survey and related programs demonstrate that structured management practices—target-setting, monitoring, incentives, and talent management—significantly predict firm productivity and survival, controlling for industry, size, and country (Bloom and Van Reenen, 2007; Bloom, Sadun, and Van Reenen, 2012). This body of work establishes that management quality matters for performance but does not account for the possibility that its importance is contingent on life-cycle stage and the strength of external competitive advantages—that is, management quality may be nearly irrelevant during periods of extreme product–market advantage and absolutely decisive when those advantages erode.</w:t>
      </w:r>
    </w:p>
    <w:p w14:paraId="2832B76D" w14:textId="77777777" w:rsidR="008721E8" w:rsidRDefault="00000000">
      <w:pPr>
        <w:spacing w:line="480" w:lineRule="auto"/>
        <w:ind w:firstLine="720"/>
      </w:pPr>
      <w:r>
        <w:t>We develop Dynamic Driver Replacement Theory (DDRT) to integrate these four streams and resolve the chaos paradox. DDRT makes three contributions to strategic organization scholarship:</w:t>
      </w:r>
    </w:p>
    <w:p w14:paraId="3CB3AB1D" w14:textId="77777777" w:rsidR="008721E8" w:rsidRDefault="00000000">
      <w:pPr>
        <w:spacing w:line="480" w:lineRule="auto"/>
        <w:ind w:firstLine="720"/>
      </w:pPr>
      <w:r>
        <w:rPr>
          <w:i/>
          <w:iCs/>
        </w:rPr>
        <w:t>First</w:t>
      </w:r>
      <w:r>
        <w:t xml:space="preserve">, we formalize the </w:t>
      </w:r>
      <w:r>
        <w:rPr>
          <w:i/>
          <w:iCs/>
        </w:rPr>
        <w:t>Dividend Offset Mechanism</w:t>
      </w:r>
      <w:r>
        <w:t>: when external dividends (product–market advantages, brand premium, innovation rents) are sufficiently high, the negative effects of internal friction (turnover, structural ambiguity, management gaps) on firm growth are substantially attenuated. This mechanism explains why high-growth firms can thrive amid apparent managerial chaos and resolves the longstanding puzzle in HGF research of why strong growth coexists with weak management practices.</w:t>
      </w:r>
    </w:p>
    <w:p w14:paraId="53B83B32" w14:textId="77777777" w:rsidR="008721E8" w:rsidRDefault="00000000">
      <w:pPr>
        <w:spacing w:line="480" w:lineRule="auto"/>
        <w:ind w:firstLine="720"/>
      </w:pPr>
      <w:r>
        <w:rPr>
          <w:i/>
          <w:iCs/>
        </w:rPr>
        <w:lastRenderedPageBreak/>
        <w:t>Second</w:t>
      </w:r>
      <w:r>
        <w:t xml:space="preserve">, we specify the </w:t>
      </w:r>
      <w:r>
        <w:rPr>
          <w:i/>
          <w:iCs/>
        </w:rPr>
        <w:t>Driver Replacement Inflection Point</w:t>
      </w:r>
      <w:r>
        <w:t>: a critical juncture at which the strategic weight of competitive advantage shifts from external dividends to internal governance. We theorize that firms failing to complete this transition—replacing externally driven growth with internally driven resilience before external dividends erode—face accelerating organizational decline as internal friction, previously buffered, overwhelms diminished external advantages.</w:t>
      </w:r>
    </w:p>
    <w:p w14:paraId="5DC3C7D3" w14:textId="77777777" w:rsidR="008721E8" w:rsidRDefault="00000000">
      <w:pPr>
        <w:spacing w:line="480" w:lineRule="auto"/>
        <w:ind w:firstLine="720"/>
      </w:pPr>
      <w:r>
        <w:rPr>
          <w:i/>
          <w:iCs/>
        </w:rPr>
        <w:t>Third</w:t>
      </w:r>
      <w:r>
        <w:t xml:space="preserve">, we introduce </w:t>
      </w:r>
      <w:r>
        <w:rPr>
          <w:i/>
          <w:iCs/>
        </w:rPr>
        <w:t>Covenant Governance</w:t>
      </w:r>
      <w:r>
        <w:t xml:space="preserve"> as the institutional form best suited to the post-dividend stage. Drawing on and extending relational contract theory (Rousseau, 1995), trust research (Mayer, Davis, and Schoorman, 1995), and identity fusion scholarship (Swann, Jetten, Gómez, Whitehouse, and Bastian, 2012), we theorize that Covenant Governance—characterized by systematic investment in employee dignity, long-term reciprocity, and identity-based organizational commitment—builds what we term a </w:t>
      </w:r>
      <w:r>
        <w:rPr>
          <w:i/>
          <w:iCs/>
        </w:rPr>
        <w:t>Credit Line of Trust</w:t>
      </w:r>
      <w:r>
        <w:t>: accumulated relational capital that converts to collective sacrifice capacity during existential crises. This framework integrates with prior work on trust-based organizational resilience (Author, 2025a, 2025b) and provides the theoretical completion of the DDRT life-cycle model.</w:t>
      </w:r>
    </w:p>
    <w:p w14:paraId="3AD5E19D" w14:textId="77777777" w:rsidR="008721E8" w:rsidRDefault="00000000">
      <w:pPr>
        <w:spacing w:line="480" w:lineRule="auto"/>
        <w:ind w:firstLine="720"/>
      </w:pPr>
      <w:r>
        <w:t>The remainder of this article proceeds as follows. We first review the four theoretical streams that DDRT integrates and identify the gaps each leaves unresolved. We then develop the DDRT framework, specifying three developmental domains, the Dividend Offset Mechanism, the Driver Replacement Inflection Point, and the role of Covenant Governance. We advance eight formal propositions with associated boundary conditions. We conclude with a discussion of theoretical implications, practical relevance, and a detailed empirical research agenda.</w:t>
      </w:r>
    </w:p>
    <w:p w14:paraId="3A3D1675" w14:textId="77777777" w:rsidR="008721E8" w:rsidRDefault="00000000">
      <w:pPr>
        <w:spacing w:before="480" w:after="240" w:line="480" w:lineRule="auto"/>
        <w:jc w:val="center"/>
      </w:pPr>
      <w:r>
        <w:rPr>
          <w:b/>
          <w:bCs/>
        </w:rPr>
        <w:t>THEORETICAL FOUNDATIONS</w:t>
      </w:r>
    </w:p>
    <w:p w14:paraId="549358D9" w14:textId="77777777" w:rsidR="008721E8" w:rsidRDefault="00000000">
      <w:pPr>
        <w:spacing w:before="360" w:after="120" w:line="480" w:lineRule="auto"/>
      </w:pPr>
      <w:r>
        <w:rPr>
          <w:b/>
          <w:bCs/>
          <w:i/>
          <w:iCs/>
        </w:rPr>
        <w:lastRenderedPageBreak/>
        <w:t>Organizational Life-Cycle Theory: Stages Without Mechanisms</w:t>
      </w:r>
    </w:p>
    <w:p w14:paraId="33C46E93" w14:textId="77777777" w:rsidR="008721E8" w:rsidRDefault="00000000">
      <w:pPr>
        <w:spacing w:line="480" w:lineRule="auto"/>
      </w:pPr>
      <w:r>
        <w:t>Classic OLC models converge on a common insight: organizations evolve through qualitatively distinct stages, each defined by characteristic structural features, strategic priorities, and managerial challenges (Greiner, 1972; Miller and Friesen, 1984; Quinn and Cameron, 1983). Greiner’s (1972) influential model identifies five growth phases, each culminating in a “revolution”—a crisis that forces structural transformation. Hanks et al. (1993) synthesized multiple OLC models into a parsimonious framework distinguishing start-up, expansion, maturity, and diversification stages. More recent design-oriented reviews argue that OLC stages can be understood through the lens of increasing organizational formalization and the tension between exploration and exploitation (Habersang et al., 2019).</w:t>
      </w:r>
    </w:p>
    <w:p w14:paraId="11D2CCE8" w14:textId="77777777" w:rsidR="008721E8" w:rsidRDefault="00000000">
      <w:pPr>
        <w:spacing w:line="480" w:lineRule="auto"/>
        <w:ind w:firstLine="720"/>
      </w:pPr>
      <w:r>
        <w:t>These models share three limitations relevant to the chaos paradox. First, they describe structural transitions without specifying the dynamic mechanism through which the strategic importance of different capabilities shifts—they tell us that organizations change, but not precisely what drives the changing relevance of product advantage versus internal governance. Second, they assume developmental linearity, despite growing evidence that organizations follow non-linear, path-dependent trajectories including revival, regression, and leapfrogging (Levie and Lichtenstein, 2010). Third, OLC models offer limited insight into governance, culture, and trust as determinants of long-term survival, focusing instead on structural features such as centralization, formalization, and differentiation. A recent comprehensive review explicitly calls for renewed attention to how life-cycle stages shape organizational behavior and long-term survival through culture and governance (Habersang et al., 2019).</w:t>
      </w:r>
    </w:p>
    <w:p w14:paraId="5F0B890A" w14:textId="77777777" w:rsidR="008721E8" w:rsidRDefault="00000000">
      <w:pPr>
        <w:spacing w:before="360" w:after="120" w:line="480" w:lineRule="auto"/>
      </w:pPr>
      <w:r>
        <w:rPr>
          <w:b/>
          <w:bCs/>
          <w:i/>
          <w:iCs/>
        </w:rPr>
        <w:t>High-Growth Firms: Drivers Without Dynamics</w:t>
      </w:r>
    </w:p>
    <w:p w14:paraId="58953DA4" w14:textId="77777777" w:rsidR="008721E8" w:rsidRDefault="00000000">
      <w:pPr>
        <w:spacing w:line="480" w:lineRule="auto"/>
      </w:pPr>
      <w:r>
        <w:lastRenderedPageBreak/>
        <w:t>HGF research documents the characteristics of firms that achieve extraordinary growth rates. Meta-analytic and systematic reviews identify key growth drivers including product innovation, human capital quality, strategic orientation, financial access, and organizational capabilities (Coad et al., 2014; Demir et al., 2017; Henrekson and Johansson, 2010). This research has established several important patterns: high growth is typically episodic rather than sustained; few firms maintain high-growth status across multiple periods; and the drivers of initial high growth may differ from those sustaining subsequent performance.</w:t>
      </w:r>
    </w:p>
    <w:p w14:paraId="706AA3D4" w14:textId="77777777" w:rsidR="008721E8" w:rsidRDefault="00000000">
      <w:pPr>
        <w:spacing w:line="480" w:lineRule="auto"/>
        <w:ind w:firstLine="720"/>
      </w:pPr>
      <w:r>
        <w:t>The critical gap for our purposes is temporal. HGF research typically examines growth drivers cross-sectionally or over short panels, making it difficult to distinguish capabilities that are important during explosive growth from those that become decisive during subsequent stages. Recent large-scale survey evidence shows that professional services firms growing at four times the industry average and achieving 30 percent higher profitability differ from peers not only in marketing and strategic focus but also in how they develop talent and manage organizational culture (Hinge Research Institute, 2025). This finding suggests that relational and cultural investments already play a role during growth phases, but existing HGF theory does not specify when these factors shift from supportive to decisive.</w:t>
      </w:r>
    </w:p>
    <w:p w14:paraId="461BE165" w14:textId="77777777" w:rsidR="008721E8" w:rsidRDefault="00000000">
      <w:pPr>
        <w:spacing w:before="360" w:after="120" w:line="480" w:lineRule="auto"/>
      </w:pPr>
      <w:r>
        <w:rPr>
          <w:b/>
          <w:bCs/>
          <w:i/>
          <w:iCs/>
        </w:rPr>
        <w:t>Complexity Theory: Domains Without Organizational Specificity</w:t>
      </w:r>
    </w:p>
    <w:p w14:paraId="36A2B064" w14:textId="77777777" w:rsidR="008721E8" w:rsidRDefault="00000000">
      <w:pPr>
        <w:spacing w:line="480" w:lineRule="auto"/>
      </w:pPr>
      <w:r>
        <w:t xml:space="preserve">Complexity theory portrays organizations as complex adaptive systems whose behavior emerges from myriad local interactions, feedback loops, and nonlinear dynamics rather than from simple top-down planning (Anderson, 1999; Stacey, 1995). Rather than operating in a single, stable regime, such systems move between domains of order, complexity, and chaos, each characterized by different patterns of causality and controllability. In ordered domains, cause–effect relationships are relatively stable and predictable, enabling detailed planning and control. </w:t>
      </w:r>
      <w:r>
        <w:lastRenderedPageBreak/>
        <w:t>In complex domains, causal patterns are only partially knowable and often become clear only in retrospect; outcomes emerge from interactions among heterogeneous agents. In chaotic domains, turbulence is so extreme that recognizable patterns are transient and prediction becomes nearly impossible.</w:t>
      </w:r>
    </w:p>
    <w:p w14:paraId="1A55B7DC" w14:textId="77777777" w:rsidR="008721E8" w:rsidRDefault="00000000">
      <w:pPr>
        <w:spacing w:line="480" w:lineRule="auto"/>
        <w:ind w:firstLine="720"/>
      </w:pPr>
      <w:r>
        <w:t>Recent work translates these domains into distinct managerial roles (Snowden and Boone, 2007). In ordered regimes, managers can “manage” in the traditional sense: analyze, plan, and tightly control processes. In complex regimes, where novelty, interdependence, and uncertainty are high, attempts at tight control are counterproductive; managers must instead “facilitate” emergent order by defining simple rules, enabling experimentation, and shaping contexts that support adaptive learning. In chaotic regimes, where breakdowns and shocks dominate, the priority shifts to “preparing”: building resilience, maintaining slack, and creating buffers against extreme events.</w:t>
      </w:r>
    </w:p>
    <w:p w14:paraId="657B29FE" w14:textId="77777777" w:rsidR="008721E8" w:rsidRDefault="00000000">
      <w:pPr>
        <w:spacing w:line="480" w:lineRule="auto"/>
        <w:ind w:firstLine="720"/>
      </w:pPr>
      <w:r>
        <w:t>This framework enriches our understanding of organizational dynamics but has not been systematically integrated with life-cycle thinking to address the chaos paradox. Complexity theory implies that early-stage firms often operate near the “edge of chaos,” where functional turbulence can enhance exploration and adaptation. As firms mature, they typically move toward more ordered regimes by formalizing structures and codifying practices. Yet environmental turbulence, technological disruption, and internal crises can push even mature firms back toward complex or chaotic conditions, challenging linear and deterministic interpretations of development. What is missing is a specification of the conditions under which similar surface turbulence corresponds to productive exploration versus destructive disintegration—precisely the question DDRT addresses.</w:t>
      </w:r>
    </w:p>
    <w:p w14:paraId="4106E285" w14:textId="77777777" w:rsidR="008721E8" w:rsidRDefault="00000000">
      <w:pPr>
        <w:spacing w:before="360" w:after="120" w:line="480" w:lineRule="auto"/>
      </w:pPr>
      <w:r>
        <w:rPr>
          <w:b/>
          <w:bCs/>
          <w:i/>
          <w:iCs/>
        </w:rPr>
        <w:t>Management Practice Research: Quality Without Contingency</w:t>
      </w:r>
    </w:p>
    <w:p w14:paraId="402CDBB6" w14:textId="77777777" w:rsidR="008721E8" w:rsidRDefault="00000000">
      <w:pPr>
        <w:spacing w:line="480" w:lineRule="auto"/>
      </w:pPr>
      <w:r>
        <w:lastRenderedPageBreak/>
        <w:t>The World Management Survey and related programs provide the most systematic evidence that management practices matter for firm performance. Bloom and Van Reenen (2007) demonstrate large, persistent differences in management quality across firms and countries, and show that better-managed firms are significantly more productive, more profitable, and less likely to fail. Bloom et al. (2012) extend this finding across countries and industries. Subsequent work examines the determinants of management quality, identifying product-market competition, ownership structure, and human capital as key factors.</w:t>
      </w:r>
    </w:p>
    <w:p w14:paraId="13F5B554" w14:textId="77777777" w:rsidR="008721E8" w:rsidRDefault="00000000">
      <w:pPr>
        <w:spacing w:line="480" w:lineRule="auto"/>
        <w:ind w:firstLine="720"/>
      </w:pPr>
      <w:r>
        <w:t>This research establishes an important baseline: management quality predicts performance on average. However, it does not systematically examine whether management quality’s impact is contingent on the strength of external competitive advantages or on the firm’s life-cycle position. Existing models treat management as having relatively constant marginal returns to performance. DDRT proposes instead that the relationship is fundamentally stage-dependent: in early, high-dividend environments, management quality’s marginal contribution to growth is low; in mature, low-dividend environments, it becomes the decisive determinant of survival. This contingency perspective reframes the management practice research program and suggests new empirical directions.</w:t>
      </w:r>
    </w:p>
    <w:p w14:paraId="543A13AF" w14:textId="77777777" w:rsidR="008721E8" w:rsidRDefault="00000000">
      <w:pPr>
        <w:spacing w:before="480" w:after="240" w:line="480" w:lineRule="auto"/>
        <w:jc w:val="center"/>
      </w:pPr>
      <w:r>
        <w:rPr>
          <w:b/>
          <w:bCs/>
        </w:rPr>
        <w:t>THE DYNAMIC DRIVER REPLACEMENT THEORY</w:t>
      </w:r>
    </w:p>
    <w:p w14:paraId="5311F4F1" w14:textId="77777777" w:rsidR="008721E8" w:rsidRDefault="00000000">
      <w:pPr>
        <w:spacing w:before="360" w:after="120" w:line="480" w:lineRule="auto"/>
      </w:pPr>
      <w:r>
        <w:rPr>
          <w:b/>
          <w:bCs/>
          <w:i/>
          <w:iCs/>
        </w:rPr>
        <w:t>Core Constructs</w:t>
      </w:r>
    </w:p>
    <w:p w14:paraId="72EEAF9E" w14:textId="77777777" w:rsidR="008721E8" w:rsidRDefault="00000000">
      <w:pPr>
        <w:spacing w:line="480" w:lineRule="auto"/>
      </w:pPr>
      <w:r>
        <w:t>DDRT is built on four core constructs, each defined and operationalized below.</w:t>
      </w:r>
    </w:p>
    <w:p w14:paraId="49D43A15" w14:textId="77777777" w:rsidR="008721E8" w:rsidRDefault="00000000">
      <w:pPr>
        <w:spacing w:line="480" w:lineRule="auto"/>
        <w:ind w:firstLine="720"/>
      </w:pPr>
      <w:r>
        <w:rPr>
          <w:b/>
          <w:bCs/>
        </w:rPr>
        <w:t xml:space="preserve">Enterprise Growth Velocity (EGV). </w:t>
      </w:r>
      <w:r>
        <w:t xml:space="preserve">EGV captures the rate and trajectory of firm-level competitive performance, encompassing revenue growth, market position change, and valuation trajectory. EGV is the outcome construct that DDRT explains: why some firms sustain high </w:t>
      </w:r>
      <w:r>
        <w:lastRenderedPageBreak/>
        <w:t>EGV through turbulent conditions while others experience EGV collapse under identical surface dynamics.</w:t>
      </w:r>
    </w:p>
    <w:p w14:paraId="6DC510DE" w14:textId="77777777" w:rsidR="008721E8" w:rsidRDefault="00000000">
      <w:pPr>
        <w:spacing w:line="480" w:lineRule="auto"/>
        <w:ind w:firstLine="720"/>
      </w:pPr>
      <w:r>
        <w:rPr>
          <w:b/>
          <w:bCs/>
        </w:rPr>
        <w:t xml:space="preserve">Product–Marketing Dividend (PMD). </w:t>
      </w:r>
      <w:r>
        <w:t>PMD represents the aggregate strength of a firm’s externally derived competitive advantages: product innovation rents, market position premium, brand equity, and first-mover advantages. PMD is “external” in the sense that it derives primarily from the firm’s position in product and factor markets rather than from internal organizational processes. High PMD corresponds to a strong market position generating above-normal returns.</w:t>
      </w:r>
    </w:p>
    <w:p w14:paraId="3C24FB4D" w14:textId="77777777" w:rsidR="008721E8" w:rsidRDefault="00000000">
      <w:pPr>
        <w:spacing w:line="480" w:lineRule="auto"/>
        <w:ind w:firstLine="720"/>
      </w:pPr>
      <w:r>
        <w:rPr>
          <w:b/>
          <w:bCs/>
        </w:rPr>
        <w:t xml:space="preserve">Internal Friction Index (IFI). </w:t>
      </w:r>
      <w:r>
        <w:t>IFI captures the aggregate cost of internal organizational dysfunction: employee turnover, structural ambiguity, management quality deficits, morale deterioration, and coordination failures. IFI is distinct from organizational complexity; a firm can be structurally complex but low-friction if internal coordination mechanisms function effectively. IFI measures the organizational “drag” that consumes resources, destroys institutional knowledge, and impairs execution.</w:t>
      </w:r>
    </w:p>
    <w:p w14:paraId="71C98CF7" w14:textId="77777777" w:rsidR="008721E8" w:rsidRDefault="00000000">
      <w:pPr>
        <w:spacing w:line="480" w:lineRule="auto"/>
        <w:ind w:firstLine="720"/>
      </w:pPr>
      <w:r>
        <w:rPr>
          <w:b/>
          <w:bCs/>
        </w:rPr>
        <w:t xml:space="preserve">Governance Quality (GQ). </w:t>
      </w:r>
      <w:r>
        <w:t>GQ captures the quality and character of an organization’s internal governance system: the structures, cultures, relational contracts, and trust mechanisms through which the firm coordinates collective action, retains critical talent, and sustains institutional integrity. GQ ranges from extraction-based governance (transactional contracts, intensive monitoring, disposable employment relationships) to Covenant Governance (relational contracts, systematic dignity investment, identity-based organizational commitment).</w:t>
      </w:r>
    </w:p>
    <w:p w14:paraId="5C31D152" w14:textId="77777777" w:rsidR="008721E8" w:rsidRDefault="00000000">
      <w:pPr>
        <w:spacing w:before="360" w:after="120" w:line="480" w:lineRule="auto"/>
      </w:pPr>
      <w:r>
        <w:rPr>
          <w:b/>
          <w:bCs/>
          <w:i/>
          <w:iCs/>
        </w:rPr>
        <w:t>Three Developmental Domains</w:t>
      </w:r>
    </w:p>
    <w:p w14:paraId="7E381EB6" w14:textId="77777777" w:rsidR="008721E8" w:rsidRDefault="00000000">
      <w:pPr>
        <w:spacing w:line="480" w:lineRule="auto"/>
      </w:pPr>
      <w:r>
        <w:t xml:space="preserve">DDRT proposes that organizations traverse three developmental domains defined not by age or size alone but by the configuration of PMD, IFI, and GQ. We use the term “domains” rather than </w:t>
      </w:r>
      <w:r>
        <w:lastRenderedPageBreak/>
        <w:t>“stages” to emphasize that progression is neither linear nor irreversible; firms may regress, oscillate, or leapfrog depending on environmental conditions and strategic choices.</w:t>
      </w:r>
    </w:p>
    <w:p w14:paraId="49FF29D9" w14:textId="77777777" w:rsidR="008721E8" w:rsidRDefault="00000000">
      <w:pPr>
        <w:spacing w:line="480" w:lineRule="auto"/>
        <w:ind w:firstLine="720"/>
      </w:pPr>
      <w:r>
        <w:rPr>
          <w:b/>
          <w:bCs/>
          <w:i/>
          <w:iCs/>
        </w:rPr>
        <w:t xml:space="preserve">Domain α: Jungle Explosion. </w:t>
      </w:r>
      <w:r>
        <w:t>Characterized by high PMD, high IFI, and low-to-moderate GQ. The firm operates near the edge of chaos (Stacey, 1995), with functional turbulence driven by rapid experimentation, market-making, and talent churn. The chaos is vital because strong external dividends buffer internal friction’s costs. Speed dominates order; formal management structures may actively impede the rapid iteration that sustains PMD. Growth-aligned turnover—where departing employees are replaced by higher-capability talent drawn by the firm’s market momentum—is characteristic. The critical dynamic: as long as PMD exceeds a threshold level relative to IFI, the firm grows despite, and sometimes because of, internal disorder.</w:t>
      </w:r>
    </w:p>
    <w:p w14:paraId="5CF53BBA" w14:textId="77777777" w:rsidR="008721E8" w:rsidRDefault="00000000">
      <w:pPr>
        <w:spacing w:line="480" w:lineRule="auto"/>
        <w:ind w:firstLine="720"/>
      </w:pPr>
      <w:r>
        <w:rPr>
          <w:b/>
          <w:bCs/>
          <w:i/>
          <w:iCs/>
        </w:rPr>
        <w:t xml:space="preserve">Domain β: Scalable Fortification. </w:t>
      </w:r>
      <w:r>
        <w:t>Characterized by moderate-to-declining PMD, moderate IFI, and increasing GQ. The firm begins formalizing structures, professionalizing management, and codifying successful practices. The primary purpose of formalization at this stage is to replicate success rather than to limit freedom. Management begins to produce positive marginal returns, and the balance between external dividends and internal governance begins to shift. The critical dynamic: PMD erosion typically begins as competitors imitate, markets mature, and innovation rents diminish. If GQ increases fast enough to compensate for PMD decline, the transition proceeds smoothly. If GQ development lags PMD decline, the firm enters a danger zone.</w:t>
      </w:r>
    </w:p>
    <w:p w14:paraId="47013CDD" w14:textId="77777777" w:rsidR="008721E8" w:rsidRDefault="00000000">
      <w:pPr>
        <w:spacing w:line="480" w:lineRule="auto"/>
        <w:ind w:firstLine="720"/>
      </w:pPr>
      <w:r>
        <w:rPr>
          <w:b/>
          <w:bCs/>
          <w:i/>
          <w:iCs/>
        </w:rPr>
        <w:t xml:space="preserve">Domain γ: Enduring Governance. </w:t>
      </w:r>
      <w:r>
        <w:t xml:space="preserve">Characterized by low-to-moderate PMD, low IFI, and high GQ. External dividends have largely been competed away; the firm competes in a “stock game” where competitive advantage derives from institutional capabilities rather than from </w:t>
      </w:r>
      <w:r>
        <w:lastRenderedPageBreak/>
        <w:t>product–market position alone. Governance quality—particularly the character of relational contracts, the depth of organizational trust, and the strength of collective identity—becomes the decisive determinant of whether the firm endures or declines. The critical dynamic: in this domain, firms that have built Covenant Governance possess a Credit Line of Trust that enables collective sacrifice during crises, producing what prior work has documented as a 45-fold “Survival Premium” in crisis costs compared to extraction-governed firms facing identical shocks (Author, 2025a).</w:t>
      </w:r>
    </w:p>
    <w:p w14:paraId="1588D283" w14:textId="77777777" w:rsidR="008721E8" w:rsidRDefault="00000000">
      <w:pPr>
        <w:spacing w:before="360" w:after="120" w:line="480" w:lineRule="auto"/>
      </w:pPr>
      <w:r>
        <w:rPr>
          <w:b/>
          <w:bCs/>
          <w:i/>
          <w:iCs/>
        </w:rPr>
        <w:t>The Dividend Offset Mechanism</w:t>
      </w:r>
    </w:p>
    <w:p w14:paraId="3D00B877" w14:textId="77777777" w:rsidR="008721E8" w:rsidRDefault="00000000">
      <w:pPr>
        <w:spacing w:line="480" w:lineRule="auto"/>
      </w:pPr>
      <w:r>
        <w:t>The central mechanism of DDRT is the Dividend Offset: external dividends attenuate the negative impact of internal friction on firm growth. Formally:</w:t>
      </w:r>
    </w:p>
    <w:p w14:paraId="5FB19501" w14:textId="77777777" w:rsidR="008721E8" w:rsidRDefault="008721E8">
      <w:pPr>
        <w:spacing w:line="480" w:lineRule="auto"/>
      </w:pPr>
    </w:p>
    <w:p w14:paraId="3AAE3728" w14:textId="77777777" w:rsidR="008721E8" w:rsidRDefault="00000000">
      <w:pPr>
        <w:spacing w:line="480" w:lineRule="auto"/>
        <w:jc w:val="center"/>
      </w:pPr>
      <w:r>
        <w:rPr>
          <w:i/>
          <w:iCs/>
        </w:rPr>
        <w:t>When PMD is high, the partial effect of IFI on EGV approaches zero; as PMD declines, the same level of IFI exerts an increasingly negative effect on EGV.</w:t>
      </w:r>
    </w:p>
    <w:p w14:paraId="4886D3AB" w14:textId="77777777" w:rsidR="008721E8" w:rsidRDefault="008721E8">
      <w:pPr>
        <w:spacing w:line="480" w:lineRule="auto"/>
      </w:pPr>
    </w:p>
    <w:p w14:paraId="777334AA" w14:textId="77777777" w:rsidR="008721E8" w:rsidRDefault="00000000">
      <w:pPr>
        <w:spacing w:line="480" w:lineRule="auto"/>
        <w:ind w:firstLine="720"/>
      </w:pPr>
      <w:r>
        <w:t>This mechanism operates through several channels. Strong product–market advantages generate resource slack that absorbs friction costs (turnover replacement, coordination failures, morale effects). High PMD attracts talent inflows that offset departures, converting what would otherwise be destructive turnover into growth-aligned talent upgrading. Revenue growth creates positive feedback loops—investor confidence, customer loyalty, supplier terms—that mask internal dysfunction. And the competitive urgency of a high-growth market environment channels energy toward external opportunities rather than internal conflicts.</w:t>
      </w:r>
    </w:p>
    <w:p w14:paraId="19B84D07" w14:textId="77777777" w:rsidR="008721E8" w:rsidRDefault="00000000">
      <w:pPr>
        <w:spacing w:line="480" w:lineRule="auto"/>
        <w:ind w:firstLine="720"/>
      </w:pPr>
      <w:r>
        <w:t xml:space="preserve">Crucially, the Dividend Offset is not unlimited. Even in Domain α, there exists a threshold below which PMD cannot buffer IFI. If internal friction exceeds the firm’s absorptive </w:t>
      </w:r>
      <w:r>
        <w:lastRenderedPageBreak/>
        <w:t>capacity—for instance, if leadership instability prevents the firm from executing on its product advantage at all—growth collapses regardless of PMD strength. The offset is also temporally bounded: firms cannot sustain high PMD indefinitely as markets mature, competition intensifies, and innovation rents diminish.</w:t>
      </w:r>
    </w:p>
    <w:p w14:paraId="4E6FD557" w14:textId="77777777" w:rsidR="008721E8" w:rsidRDefault="00000000">
      <w:pPr>
        <w:spacing w:before="480" w:after="240" w:line="480" w:lineRule="auto"/>
        <w:jc w:val="center"/>
      </w:pPr>
      <w:r>
        <w:rPr>
          <w:b/>
          <w:bCs/>
        </w:rPr>
        <w:t>PROPOSITIONS</w:t>
      </w:r>
    </w:p>
    <w:p w14:paraId="3358559B" w14:textId="77777777" w:rsidR="008721E8" w:rsidRDefault="00000000">
      <w:pPr>
        <w:spacing w:before="360" w:after="120" w:line="480" w:lineRule="auto"/>
      </w:pPr>
      <w:r>
        <w:rPr>
          <w:b/>
          <w:bCs/>
          <w:i/>
          <w:iCs/>
        </w:rPr>
        <w:t>The Dividend Offset</w:t>
      </w:r>
    </w:p>
    <w:p w14:paraId="5ED8DD78" w14:textId="77777777" w:rsidR="008721E8" w:rsidRDefault="00000000">
      <w:pPr>
        <w:spacing w:line="480" w:lineRule="auto"/>
      </w:pPr>
      <w:r>
        <w:rPr>
          <w:b/>
          <w:bCs/>
          <w:i/>
          <w:iCs/>
        </w:rPr>
        <w:t xml:space="preserve">Proposition 1. </w:t>
      </w:r>
      <w:r>
        <w:t>The negative effect of internal friction (IFI) on enterprise growth velocity (EGV) is moderated by product–marketing dividend (PMD) strength, such that the IFI–EGV relationship is weakly negative when PMD is high and strongly negative when PMD is low.</w:t>
      </w:r>
    </w:p>
    <w:p w14:paraId="40B52D58" w14:textId="77777777" w:rsidR="008721E8" w:rsidRDefault="00000000">
      <w:pPr>
        <w:spacing w:line="480" w:lineRule="auto"/>
        <w:ind w:firstLine="720"/>
      </w:pPr>
      <w:r>
        <w:rPr>
          <w:b/>
          <w:bCs/>
          <w:i/>
          <w:iCs/>
        </w:rPr>
        <w:t xml:space="preserve">Proposition 2. </w:t>
      </w:r>
      <w:r>
        <w:t>In Domain α (Jungle Explosion), high employee turnover is positively associated with firm growth when turnover is growth-aligned (departing employees are replaced by higher-capability talent), but negatively associated with growth when turnover is distress-driven (high-capability employees departing to escape organizational dysfunction).</w:t>
      </w:r>
    </w:p>
    <w:p w14:paraId="01996044" w14:textId="77777777" w:rsidR="008721E8" w:rsidRDefault="00000000">
      <w:pPr>
        <w:spacing w:before="360" w:after="120" w:line="480" w:lineRule="auto"/>
      </w:pPr>
      <w:r>
        <w:rPr>
          <w:b/>
          <w:bCs/>
          <w:i/>
          <w:iCs/>
        </w:rPr>
        <w:t>The Driver Replacement Inflection Point</w:t>
      </w:r>
    </w:p>
    <w:p w14:paraId="740EB544" w14:textId="77777777" w:rsidR="008721E8" w:rsidRDefault="00000000">
      <w:pPr>
        <w:spacing w:line="480" w:lineRule="auto"/>
      </w:pPr>
      <w:r>
        <w:rPr>
          <w:b/>
          <w:bCs/>
          <w:i/>
          <w:iCs/>
        </w:rPr>
        <w:t xml:space="preserve">Proposition 3. </w:t>
      </w:r>
      <w:r>
        <w:t>There exists a critical inflection point at which governance quality (GQ) replaces product–marketing dividend (PMD) as the primary predictor of enterprise growth velocity (EGV). This inflection occurs when PMD declines below a threshold at which the Dividend Offset can no longer attenuate IFI’s negative effects.</w:t>
      </w:r>
    </w:p>
    <w:p w14:paraId="734CE41E" w14:textId="77777777" w:rsidR="008721E8" w:rsidRDefault="00000000">
      <w:pPr>
        <w:spacing w:line="480" w:lineRule="auto"/>
        <w:ind w:firstLine="720"/>
      </w:pPr>
      <w:r>
        <w:rPr>
          <w:b/>
          <w:bCs/>
          <w:i/>
          <w:iCs/>
        </w:rPr>
        <w:t xml:space="preserve">Proposition 4. </w:t>
      </w:r>
      <w:r>
        <w:t xml:space="preserve">Firms that increase governance quality before PMD declines below the Dividend Offset threshold will sustain positive EGV through the transition; firms that fail to </w:t>
      </w:r>
      <w:r>
        <w:lastRenderedPageBreak/>
        <w:t>increase GQ before this threshold is reached will experience accelerating decline in EGV as unattenuated internal friction compounds PMD erosion.</w:t>
      </w:r>
    </w:p>
    <w:p w14:paraId="67D84636" w14:textId="77777777" w:rsidR="008721E8" w:rsidRDefault="00000000">
      <w:pPr>
        <w:spacing w:before="360" w:after="120" w:line="480" w:lineRule="auto"/>
      </w:pPr>
      <w:r>
        <w:rPr>
          <w:b/>
          <w:bCs/>
          <w:i/>
          <w:iCs/>
        </w:rPr>
        <w:t>The Nature of Chaos</w:t>
      </w:r>
    </w:p>
    <w:p w14:paraId="6F0A746F" w14:textId="77777777" w:rsidR="008721E8" w:rsidRDefault="00000000">
      <w:pPr>
        <w:spacing w:line="480" w:lineRule="auto"/>
      </w:pPr>
      <w:r>
        <w:rPr>
          <w:b/>
          <w:bCs/>
          <w:i/>
          <w:iCs/>
        </w:rPr>
        <w:t xml:space="preserve">Proposition 5. </w:t>
      </w:r>
      <w:r>
        <w:t>Observationally similar levels of internal organizational turbulence (high IFI) correspond to qualitatively different underlying dynamics depending on the firm’s developmental domain: vital chaos in Domain α (high PMD buffers friction costs and growth-aligned turnover predominates) and death chaos in Domain γ (low PMD cannot buffer friction costs and distress-driven turnover predominates).</w:t>
      </w:r>
    </w:p>
    <w:p w14:paraId="7F21B8F6" w14:textId="77777777" w:rsidR="008721E8" w:rsidRDefault="00000000">
      <w:pPr>
        <w:spacing w:before="360" w:after="120" w:line="480" w:lineRule="auto"/>
      </w:pPr>
      <w:r>
        <w:rPr>
          <w:b/>
          <w:bCs/>
          <w:i/>
          <w:iCs/>
        </w:rPr>
        <w:t>Management Quality Contingency</w:t>
      </w:r>
    </w:p>
    <w:p w14:paraId="4BC1B21F" w14:textId="77777777" w:rsidR="008721E8" w:rsidRDefault="00000000">
      <w:pPr>
        <w:spacing w:line="480" w:lineRule="auto"/>
      </w:pPr>
      <w:r>
        <w:rPr>
          <w:b/>
          <w:bCs/>
          <w:i/>
          <w:iCs/>
        </w:rPr>
        <w:t xml:space="preserve">Proposition 6. </w:t>
      </w:r>
      <w:r>
        <w:t>The marginal contribution of management practice quality (a component of GQ) to enterprise growth velocity (EGV) is contingent on life-cycle domain: low in Domain α, moderate and increasing in Domain β, and high—approaching decisive—in Domain γ.</w:t>
      </w:r>
    </w:p>
    <w:p w14:paraId="60DB39BC" w14:textId="77777777" w:rsidR="008721E8" w:rsidRDefault="00000000">
      <w:pPr>
        <w:spacing w:before="360" w:after="120" w:line="480" w:lineRule="auto"/>
      </w:pPr>
      <w:r>
        <w:rPr>
          <w:b/>
          <w:bCs/>
          <w:i/>
          <w:iCs/>
        </w:rPr>
        <w:t>Covenant Governance and Crisis Resilience</w:t>
      </w:r>
    </w:p>
    <w:p w14:paraId="5542BF68" w14:textId="77777777" w:rsidR="008721E8" w:rsidRDefault="00000000">
      <w:pPr>
        <w:spacing w:line="480" w:lineRule="auto"/>
      </w:pPr>
      <w:r>
        <w:rPr>
          <w:b/>
          <w:bCs/>
          <w:i/>
          <w:iCs/>
        </w:rPr>
        <w:t xml:space="preserve">Proposition 7. </w:t>
      </w:r>
      <w:r>
        <w:t>Firms that develop Covenant Governance—characterized by relational contracts, systematic dignity investment, and identity-based organizational commitment—accumulate a Credit Line of Trust that converts to collective sacrifice capacity during existential crises, producing substantially lower crisis costs than firms governed through extraction-based systems.</w:t>
      </w:r>
    </w:p>
    <w:p w14:paraId="7CB5D803" w14:textId="77777777" w:rsidR="008721E8" w:rsidRDefault="00000000">
      <w:pPr>
        <w:spacing w:line="480" w:lineRule="auto"/>
        <w:ind w:firstLine="720"/>
      </w:pPr>
      <w:r>
        <w:rPr>
          <w:b/>
          <w:bCs/>
          <w:i/>
          <w:iCs/>
        </w:rPr>
        <w:t xml:space="preserve">Proposition 8. </w:t>
      </w:r>
      <w:r>
        <w:t xml:space="preserve">As artificial intelligence commoditizes codifiable management capabilities (Performance UI), the Survival Premium associated with Covenant Governance increases, because the only organizational capabilities that retain non-substitutable strategic value are those </w:t>
      </w:r>
      <w:r>
        <w:lastRenderedPageBreak/>
        <w:t>rooted in identity-based human agency (Core Code)—capabilities that Covenant Governance cultivates and extraction governance destroys.</w:t>
      </w:r>
    </w:p>
    <w:p w14:paraId="672CE61F" w14:textId="77777777" w:rsidR="008721E8" w:rsidRDefault="00000000">
      <w:pPr>
        <w:spacing w:before="480" w:after="240" w:line="480" w:lineRule="auto"/>
        <w:jc w:val="center"/>
      </w:pPr>
      <w:r>
        <w:rPr>
          <w:b/>
          <w:bCs/>
        </w:rPr>
        <w:t>COVENANT GOVERNANCE: THE INSTITUTIONAL FORM FOR DOMAIN Γ</w:t>
      </w:r>
    </w:p>
    <w:p w14:paraId="408516D7" w14:textId="77777777" w:rsidR="008721E8" w:rsidRDefault="00000000">
      <w:pPr>
        <w:spacing w:line="480" w:lineRule="auto"/>
      </w:pPr>
      <w:r>
        <w:t>DDRT’s third contribution is specifying the governance form that enables firms to thrive in Domain γ, where external dividends have diminished and internal governance becomes the decisive competitive factor. We term this form Covenant Governance, distinguishing it from both extraction-based governance (the “Wolf Culture”) and bureaucratic governance.</w:t>
      </w:r>
    </w:p>
    <w:p w14:paraId="4CCA1F4E" w14:textId="77777777" w:rsidR="008721E8" w:rsidRDefault="00000000">
      <w:pPr>
        <w:spacing w:before="360" w:after="120" w:line="480" w:lineRule="auto"/>
      </w:pPr>
      <w:r>
        <w:rPr>
          <w:b/>
          <w:bCs/>
          <w:i/>
          <w:iCs/>
        </w:rPr>
        <w:t>Defining Covenant Governance</w:t>
      </w:r>
    </w:p>
    <w:p w14:paraId="011FCE14" w14:textId="77777777" w:rsidR="008721E8" w:rsidRDefault="00000000">
      <w:pPr>
        <w:spacing w:line="480" w:lineRule="auto"/>
      </w:pPr>
      <w:r>
        <w:t>Covenant Governance is an institutional arrangement characterized by four interlocking elements: (1) relational contracts grounded in long-term mutual investment and socio-emotional exchange (Rousseau, 1995); (2) systematic investment in employee dignity—visible employment protection, consistent development commitment, and respectful treatment of transitions including departures; (3) merit-based advancement tied to long-term contribution rather than short-term metrics or political maneuvering; and (4) leadership accountability structures that hold leaders responsible for the relational capital they build or destroy, not merely the financial results they produce.</w:t>
      </w:r>
    </w:p>
    <w:p w14:paraId="3C318778" w14:textId="77777777" w:rsidR="008721E8" w:rsidRDefault="00000000">
      <w:pPr>
        <w:spacing w:line="480" w:lineRule="auto"/>
        <w:ind w:firstLine="720"/>
      </w:pPr>
      <w:r>
        <w:t xml:space="preserve">The term “covenant” deliberately evokes a commitment that transcends transactional exchange. Unlike a contract, which specifies reciprocal obligations and can be terminated when terms are breached, a covenant implies a deeper commitment to the welfare of the parties involved—one that persists even when short-term calculations favor defection. This distinction parallels Rousseau’s (1995) contrast between transactional and relational psychological contracts </w:t>
      </w:r>
      <w:r>
        <w:lastRenderedPageBreak/>
        <w:t>but extends it: Covenant Governance is not merely a relational contract between individuals but an institutional arrangement that systematically produces and sustains such contracts across the organization.</w:t>
      </w:r>
    </w:p>
    <w:p w14:paraId="5326D4E5" w14:textId="77777777" w:rsidR="008721E8" w:rsidRDefault="00000000">
      <w:pPr>
        <w:spacing w:before="360" w:after="120" w:line="480" w:lineRule="auto"/>
      </w:pPr>
      <w:r>
        <w:rPr>
          <w:b/>
          <w:bCs/>
          <w:i/>
          <w:iCs/>
        </w:rPr>
        <w:t>The Credit Line of Trust</w:t>
      </w:r>
    </w:p>
    <w:p w14:paraId="13C23361" w14:textId="77777777" w:rsidR="008721E8" w:rsidRDefault="00000000">
      <w:pPr>
        <w:spacing w:line="480" w:lineRule="auto"/>
      </w:pPr>
      <w:r>
        <w:t>The central mechanism through which Covenant Governance produces competitive advantage is what we term the Credit Line of Trust: accumulated relational capital that converts to collective sacrifice capacity during existential crises. The Credit Line is built through sustained deposits—kept promises during stable times, visible protection during minor downturns, consistent investment in employee welfare—and can be drawn upon when organizational survival requires collective sacrifice.</w:t>
      </w:r>
    </w:p>
    <w:p w14:paraId="1C39D014" w14:textId="77777777" w:rsidR="008721E8" w:rsidRDefault="00000000">
      <w:pPr>
        <w:spacing w:line="480" w:lineRule="auto"/>
        <w:ind w:firstLine="720"/>
      </w:pPr>
      <w:r>
        <w:t>Prior empirical work illustrates this mechanism. In a comparative analysis of mid-sized manufacturing firms facing identical 60 percent revenue shocks, the Covenant-governed firm resolved its crisis at a cost of approximately $180,000 with full talent retention, while the extraction-governed firm incurred approximately $8.2 million in crisis costs and never recovered competitive position—a 45-fold differential that we term the Survival Premium (Author, 2025a). The Covenant firm’s workforce union voluntarily proposed tiered wage reductions to preserve jobs; the extraction firm’s employees filed lawsuits and 68 percent of R&amp;D personnel departed within six months. The observable difference between these organizations was not in the talent quality they employed but in the governance system that shaped the employment relationship.</w:t>
      </w:r>
    </w:p>
    <w:p w14:paraId="70F05FD0" w14:textId="77777777" w:rsidR="008721E8" w:rsidRDefault="00000000">
      <w:pPr>
        <w:spacing w:line="480" w:lineRule="auto"/>
        <w:ind w:firstLine="720"/>
      </w:pPr>
      <w:r>
        <w:t xml:space="preserve">Core Code Theory (Author, 2025b) provides the psychological mechanism underlying the Credit Line: identity fusion (Swann et al., 2012). When organizations demonstrate sustained benevolence and treat employees as persons with intrinsic worth rather than as replaceable labor inputs, employees incorporate organizational membership into their self-concept. Organizational </w:t>
      </w:r>
      <w:r>
        <w:lastRenderedPageBreak/>
        <w:t>threats become personal threats, activating collective sacrifice behaviors that transcend rational self-interest and solve the collective action problem (Olson, 1965). This conversion mechanism explains why marginal differences in trust investment can produce categorical differences in crisis outcomes—a nonlinear payoff structure that extraction governance, by design, cannot generate.</w:t>
      </w:r>
    </w:p>
    <w:p w14:paraId="50989284" w14:textId="77777777" w:rsidR="008721E8" w:rsidRDefault="00000000">
      <w:pPr>
        <w:spacing w:before="360" w:after="120" w:line="480" w:lineRule="auto"/>
      </w:pPr>
      <w:r>
        <w:rPr>
          <w:b/>
          <w:bCs/>
          <w:i/>
          <w:iCs/>
        </w:rPr>
        <w:t>Covenant Governance and AI</w:t>
      </w:r>
    </w:p>
    <w:p w14:paraId="0839B7A2" w14:textId="77777777" w:rsidR="008721E8" w:rsidRDefault="00000000">
      <w:pPr>
        <w:spacing w:line="480" w:lineRule="auto"/>
      </w:pPr>
      <w:r>
        <w:t>The strategic urgency of Covenant Governance is amplified by artificial intelligence. As AI commoditizes codifiable cognitive capabilities—strategic analysis, financial modeling, pattern recognition, polished communication—the skills that extraction governance optimizes (what we term Performance UI) lose their value as sources of competitive advantage. Extraction governance selects for employees who excel at measurable outputs; these outputs are precisely what AI replicates at declining marginal cost. Covenant Governance, by contrast, cultivates what we term Core Code: identity-based capabilities—moral courage, nonlinear crisis intuition, and collective sacrifice capacity—that presuppose a moral agent with identity-based stakes in outcomes. These capabilities are constitutively illegible to algorithmic systems (Polanyi, 1966; Dierickx and Cool, 1989; Hannah, Avolio, and Walumbwa, 2011) and satisfy all four criteria of the VRIN framework for sustainable competitive advantage (Barney, 1991; Author, 2025b). In an AI-saturated environment, the only organizational capabilities that remain non-substitutable are those rooted in human identity and agency—capabilities that Covenant Governance cultivates and extraction governance systematically destroys.</w:t>
      </w:r>
    </w:p>
    <w:p w14:paraId="294687FC" w14:textId="77777777" w:rsidR="008721E8" w:rsidRDefault="00000000">
      <w:pPr>
        <w:spacing w:before="480" w:after="240" w:line="480" w:lineRule="auto"/>
        <w:jc w:val="center"/>
      </w:pPr>
      <w:r>
        <w:rPr>
          <w:b/>
          <w:bCs/>
        </w:rPr>
        <w:t>BOUNDARY CONDITIONS AND ALTERNATIVE EXPLANATIONS</w:t>
      </w:r>
    </w:p>
    <w:p w14:paraId="11DBA8FD" w14:textId="77777777" w:rsidR="008721E8" w:rsidRDefault="00000000">
      <w:pPr>
        <w:spacing w:line="480" w:lineRule="auto"/>
      </w:pPr>
      <w:r>
        <w:lastRenderedPageBreak/>
        <w:t>DDRT’s propositions are subject to several boundary conditions that define the theory’s scope.</w:t>
      </w:r>
    </w:p>
    <w:p w14:paraId="32EEAE9A" w14:textId="77777777" w:rsidR="008721E8" w:rsidRDefault="00000000">
      <w:pPr>
        <w:spacing w:line="480" w:lineRule="auto"/>
        <w:ind w:firstLine="720"/>
      </w:pPr>
      <w:r>
        <w:rPr>
          <w:b/>
          <w:bCs/>
        </w:rPr>
        <w:t xml:space="preserve">Industry context. </w:t>
      </w:r>
      <w:r>
        <w:t>The Dividend Offset Mechanism is strongest in industries where product–market advantages generate large, visible rents—technology, pharmaceuticals, platform businesses. In commodity industries where PMD is inherently low, internal governance quality may be decisive from firm inception, effectively compressing the α domain or eliminating it entirely.</w:t>
      </w:r>
    </w:p>
    <w:p w14:paraId="09AD28BC" w14:textId="77777777" w:rsidR="008721E8" w:rsidRDefault="00000000">
      <w:pPr>
        <w:spacing w:line="480" w:lineRule="auto"/>
        <w:ind w:firstLine="720"/>
      </w:pPr>
      <w:r>
        <w:rPr>
          <w:b/>
          <w:bCs/>
        </w:rPr>
        <w:t xml:space="preserve">Firm size and age. </w:t>
      </w:r>
      <w:r>
        <w:t>DDRT is developed primarily for firms that experience at least one period of high growth. Firms that never achieve significant PMD may not exhibit the Dividend Offset pattern, and the three-domain trajectory may not apply. Domain classification should be based on the configuration of PMD, IFI, and GQ rather than on firm age or size, which are imperfect proxies.</w:t>
      </w:r>
    </w:p>
    <w:p w14:paraId="53005F28" w14:textId="77777777" w:rsidR="008721E8" w:rsidRDefault="00000000">
      <w:pPr>
        <w:spacing w:line="480" w:lineRule="auto"/>
        <w:ind w:firstLine="720"/>
      </w:pPr>
      <w:r>
        <w:rPr>
          <w:b/>
          <w:bCs/>
        </w:rPr>
        <w:t xml:space="preserve">Cultural context. </w:t>
      </w:r>
      <w:r>
        <w:t>The specific form of Covenant Governance may vary across national and cultural contexts. The underlying mechanism—relational investment building a Credit Line of Trust that converts to crisis resilience—is expected to hold across contexts, but the institutional expressions (employment protections, benefit structures, advancement criteria) will differ. Cross-cultural research is needed to identify functional equivalents of Covenant Governance across institutional environments.</w:t>
      </w:r>
    </w:p>
    <w:p w14:paraId="504F5779" w14:textId="77777777" w:rsidR="008721E8" w:rsidRDefault="00000000">
      <w:pPr>
        <w:spacing w:line="480" w:lineRule="auto"/>
        <w:ind w:firstLine="720"/>
      </w:pPr>
      <w:r>
        <w:rPr>
          <w:b/>
          <w:bCs/>
        </w:rPr>
        <w:t xml:space="preserve">Alternative explanations. </w:t>
      </w:r>
      <w:r>
        <w:t xml:space="preserve">Several alternative mechanisms could produce patterns consistent with DDRT’s predictions. Financial slack theory suggests that resource abundance during growth buffers organizational dysfunction. We note that DDRT subsumes this explanation: financial slack is one channel through which PMD attenuates IFI effects, but DDRT identifies additional channels (talent attraction, positive feedback loops, competitive urgency) that financial slack alone does not capture. Population ecology might suggest that the patterns we </w:t>
      </w:r>
      <w:r>
        <w:lastRenderedPageBreak/>
        <w:t>attribute to driver replacement reflect selection rather than adaptation; longitudinal, within-firm designs can distinguish these explanations empirically.</w:t>
      </w:r>
    </w:p>
    <w:p w14:paraId="0EDBA3E9" w14:textId="77777777" w:rsidR="008721E8" w:rsidRDefault="00000000">
      <w:pPr>
        <w:spacing w:before="480" w:after="240" w:line="480" w:lineRule="auto"/>
        <w:jc w:val="center"/>
      </w:pPr>
      <w:r>
        <w:rPr>
          <w:b/>
          <w:bCs/>
        </w:rPr>
        <w:t>FIGURES AND TABLES</w:t>
      </w:r>
    </w:p>
    <w:p w14:paraId="1B2BEB27" w14:textId="77777777" w:rsidR="008721E8" w:rsidRDefault="008721E8">
      <w:pPr>
        <w:spacing w:line="480" w:lineRule="auto"/>
      </w:pPr>
    </w:p>
    <w:p w14:paraId="7EE8F1E9" w14:textId="77777777" w:rsidR="008721E8" w:rsidRDefault="00000000">
      <w:pPr>
        <w:spacing w:line="480" w:lineRule="auto"/>
      </w:pPr>
      <w:r>
        <w:rPr>
          <w:b/>
          <w:bCs/>
          <w:i/>
          <w:iCs/>
        </w:rPr>
        <w:t xml:space="preserve">Table 1. </w:t>
      </w:r>
      <w:r>
        <w:t>Summary of DDRT Developmental Domains</w:t>
      </w:r>
    </w:p>
    <w:p w14:paraId="49956112" w14:textId="77777777" w:rsidR="008721E8" w:rsidRDefault="008721E8">
      <w:pPr>
        <w:spacing w:line="480"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2620"/>
        <w:gridCol w:w="2620"/>
        <w:gridCol w:w="2620"/>
      </w:tblGrid>
      <w:tr w:rsidR="008721E8" w14:paraId="5FE12102" w14:textId="77777777">
        <w:tblPrEx>
          <w:tblCellMar>
            <w:top w:w="0" w:type="dxa"/>
            <w:bottom w:w="0" w:type="dxa"/>
          </w:tblCellMar>
        </w:tblPrEx>
        <w:tc>
          <w:tcPr>
            <w:tcW w:w="15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14:paraId="02B9B8E6" w14:textId="77777777" w:rsidR="008721E8" w:rsidRDefault="00000000">
            <w:pPr>
              <w:spacing w:line="276" w:lineRule="auto"/>
            </w:pPr>
            <w:r>
              <w:rPr>
                <w:b/>
                <w:bCs/>
                <w:sz w:val="20"/>
                <w:szCs w:val="20"/>
              </w:rPr>
              <w:t>Dimension</w:t>
            </w:r>
          </w:p>
        </w:tc>
        <w:tc>
          <w:tcPr>
            <w:tcW w:w="262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14:paraId="29F6FC5D" w14:textId="77777777" w:rsidR="008721E8" w:rsidRDefault="00000000">
            <w:pPr>
              <w:spacing w:line="276" w:lineRule="auto"/>
            </w:pPr>
            <w:r>
              <w:rPr>
                <w:b/>
                <w:bCs/>
                <w:sz w:val="20"/>
                <w:szCs w:val="20"/>
              </w:rPr>
              <w:t>Domain α: Jungle Explosion</w:t>
            </w:r>
          </w:p>
        </w:tc>
        <w:tc>
          <w:tcPr>
            <w:tcW w:w="262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14:paraId="033C4718" w14:textId="77777777" w:rsidR="008721E8" w:rsidRDefault="00000000">
            <w:pPr>
              <w:spacing w:line="276" w:lineRule="auto"/>
            </w:pPr>
            <w:r>
              <w:rPr>
                <w:b/>
                <w:bCs/>
                <w:sz w:val="20"/>
                <w:szCs w:val="20"/>
              </w:rPr>
              <w:t>Domain β: Scalable Fortification</w:t>
            </w:r>
          </w:p>
        </w:tc>
        <w:tc>
          <w:tcPr>
            <w:tcW w:w="262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14:paraId="3A801CE4" w14:textId="77777777" w:rsidR="008721E8" w:rsidRDefault="00000000">
            <w:pPr>
              <w:spacing w:line="276" w:lineRule="auto"/>
            </w:pPr>
            <w:r>
              <w:rPr>
                <w:b/>
                <w:bCs/>
                <w:sz w:val="20"/>
                <w:szCs w:val="20"/>
              </w:rPr>
              <w:t>Domain γ: Enduring Governance</w:t>
            </w:r>
          </w:p>
        </w:tc>
      </w:tr>
      <w:tr w:rsidR="008721E8" w14:paraId="5733499D" w14:textId="77777777">
        <w:tblPrEx>
          <w:tblCellMar>
            <w:top w:w="0" w:type="dxa"/>
            <w:bottom w:w="0" w:type="dxa"/>
          </w:tblCellMar>
        </w:tblPrEx>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BC33D3" w14:textId="77777777" w:rsidR="008721E8" w:rsidRDefault="00000000">
            <w:pPr>
              <w:spacing w:line="276" w:lineRule="auto"/>
            </w:pPr>
            <w:r>
              <w:rPr>
                <w:sz w:val="20"/>
                <w:szCs w:val="20"/>
              </w:rPr>
              <w:t>PMD</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1D074A" w14:textId="77777777" w:rsidR="008721E8" w:rsidRDefault="00000000">
            <w:pPr>
              <w:spacing w:line="276" w:lineRule="auto"/>
            </w:pPr>
            <w:r>
              <w:rPr>
                <w:sz w:val="20"/>
                <w:szCs w:val="20"/>
              </w:rPr>
              <w:t>High: strong product–market rents</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AD48FF" w14:textId="77777777" w:rsidR="008721E8" w:rsidRDefault="00000000">
            <w:pPr>
              <w:spacing w:line="276" w:lineRule="auto"/>
            </w:pPr>
            <w:r>
              <w:rPr>
                <w:sz w:val="20"/>
                <w:szCs w:val="20"/>
              </w:rPr>
              <w:t>Moderate–declining: competition erodes rents</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D6316E" w14:textId="77777777" w:rsidR="008721E8" w:rsidRDefault="00000000">
            <w:pPr>
              <w:spacing w:line="276" w:lineRule="auto"/>
            </w:pPr>
            <w:r>
              <w:rPr>
                <w:sz w:val="20"/>
                <w:szCs w:val="20"/>
              </w:rPr>
              <w:t>Low: advantages competed away</w:t>
            </w:r>
          </w:p>
        </w:tc>
      </w:tr>
      <w:tr w:rsidR="008721E8" w14:paraId="5F23F1B2" w14:textId="77777777">
        <w:tblPrEx>
          <w:tblCellMar>
            <w:top w:w="0" w:type="dxa"/>
            <w:bottom w:w="0" w:type="dxa"/>
          </w:tblCellMar>
        </w:tblPrEx>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BE13A" w14:textId="77777777" w:rsidR="008721E8" w:rsidRDefault="00000000">
            <w:pPr>
              <w:spacing w:line="276" w:lineRule="auto"/>
            </w:pPr>
            <w:r>
              <w:rPr>
                <w:sz w:val="20"/>
                <w:szCs w:val="20"/>
              </w:rPr>
              <w:t>IFI</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1C5C11" w14:textId="77777777" w:rsidR="008721E8" w:rsidRDefault="00000000">
            <w:pPr>
              <w:spacing w:line="276" w:lineRule="auto"/>
            </w:pPr>
            <w:r>
              <w:rPr>
                <w:sz w:val="20"/>
                <w:szCs w:val="20"/>
              </w:rPr>
              <w:t>High but buffered: vital chaos</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304C487" w14:textId="77777777" w:rsidR="008721E8" w:rsidRDefault="00000000">
            <w:pPr>
              <w:spacing w:line="276" w:lineRule="auto"/>
            </w:pPr>
            <w:r>
              <w:rPr>
                <w:sz w:val="20"/>
                <w:szCs w:val="20"/>
              </w:rPr>
              <w:t>Moderate: friction becomes visible</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F44C67" w14:textId="77777777" w:rsidR="008721E8" w:rsidRDefault="00000000">
            <w:pPr>
              <w:spacing w:line="276" w:lineRule="auto"/>
            </w:pPr>
            <w:r>
              <w:rPr>
                <w:sz w:val="20"/>
                <w:szCs w:val="20"/>
              </w:rPr>
              <w:t>Low (healthy) or high (fatal)</w:t>
            </w:r>
          </w:p>
        </w:tc>
      </w:tr>
      <w:tr w:rsidR="008721E8" w14:paraId="56D6D9CA" w14:textId="77777777">
        <w:tblPrEx>
          <w:tblCellMar>
            <w:top w:w="0" w:type="dxa"/>
            <w:bottom w:w="0" w:type="dxa"/>
          </w:tblCellMar>
        </w:tblPrEx>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0FC112F" w14:textId="77777777" w:rsidR="008721E8" w:rsidRDefault="00000000">
            <w:pPr>
              <w:spacing w:line="276" w:lineRule="auto"/>
            </w:pPr>
            <w:r>
              <w:rPr>
                <w:sz w:val="20"/>
                <w:szCs w:val="20"/>
              </w:rPr>
              <w:t>GQ</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2BF18B" w14:textId="77777777" w:rsidR="008721E8" w:rsidRDefault="00000000">
            <w:pPr>
              <w:spacing w:line="276" w:lineRule="auto"/>
            </w:pPr>
            <w:r>
              <w:rPr>
                <w:sz w:val="20"/>
                <w:szCs w:val="20"/>
              </w:rPr>
              <w:t>Low–moderate: functional, not decisive</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DDE478C" w14:textId="77777777" w:rsidR="008721E8" w:rsidRDefault="00000000">
            <w:pPr>
              <w:spacing w:line="276" w:lineRule="auto"/>
            </w:pPr>
            <w:r>
              <w:rPr>
                <w:sz w:val="20"/>
                <w:szCs w:val="20"/>
              </w:rPr>
              <w:t>Increasing: formalization begins</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6BBA4D" w14:textId="77777777" w:rsidR="008721E8" w:rsidRDefault="00000000">
            <w:pPr>
              <w:spacing w:line="276" w:lineRule="auto"/>
            </w:pPr>
            <w:r>
              <w:rPr>
                <w:sz w:val="20"/>
                <w:szCs w:val="20"/>
              </w:rPr>
              <w:t>High and decisive: determines survival</w:t>
            </w:r>
          </w:p>
        </w:tc>
      </w:tr>
      <w:tr w:rsidR="008721E8" w14:paraId="3CDC878F" w14:textId="77777777">
        <w:tblPrEx>
          <w:tblCellMar>
            <w:top w:w="0" w:type="dxa"/>
            <w:bottom w:w="0" w:type="dxa"/>
          </w:tblCellMar>
        </w:tblPrEx>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DEE9B" w14:textId="77777777" w:rsidR="008721E8" w:rsidRDefault="00000000">
            <w:pPr>
              <w:spacing w:line="276" w:lineRule="auto"/>
            </w:pPr>
            <w:r>
              <w:rPr>
                <w:sz w:val="20"/>
                <w:szCs w:val="20"/>
              </w:rPr>
              <w:t>Key driver</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3676A15" w14:textId="77777777" w:rsidR="008721E8" w:rsidRDefault="00000000">
            <w:pPr>
              <w:spacing w:line="276" w:lineRule="auto"/>
            </w:pPr>
            <w:r>
              <w:rPr>
                <w:sz w:val="20"/>
                <w:szCs w:val="20"/>
              </w:rPr>
              <w:t>Product innovation, marketing aggression</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5D5CD5" w14:textId="77777777" w:rsidR="008721E8" w:rsidRDefault="00000000">
            <w:pPr>
              <w:spacing w:line="276" w:lineRule="auto"/>
            </w:pPr>
            <w:r>
              <w:rPr>
                <w:sz w:val="20"/>
                <w:szCs w:val="20"/>
              </w:rPr>
              <w:t>Sales networks, brand premium, standardization</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F0981" w14:textId="77777777" w:rsidR="008721E8" w:rsidRDefault="00000000">
            <w:pPr>
              <w:spacing w:line="276" w:lineRule="auto"/>
            </w:pPr>
            <w:r>
              <w:rPr>
                <w:sz w:val="20"/>
                <w:szCs w:val="20"/>
              </w:rPr>
              <w:t>Institutional resilience, Covenant Governance</w:t>
            </w:r>
          </w:p>
        </w:tc>
      </w:tr>
      <w:tr w:rsidR="008721E8" w14:paraId="616013AD" w14:textId="77777777">
        <w:tblPrEx>
          <w:tblCellMar>
            <w:top w:w="0" w:type="dxa"/>
            <w:bottom w:w="0" w:type="dxa"/>
          </w:tblCellMar>
        </w:tblPrEx>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5B54" w14:textId="77777777" w:rsidR="008721E8" w:rsidRDefault="00000000">
            <w:pPr>
              <w:spacing w:line="276" w:lineRule="auto"/>
            </w:pPr>
            <w:r>
              <w:rPr>
                <w:sz w:val="20"/>
                <w:szCs w:val="20"/>
              </w:rPr>
              <w:t>Chaos character</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041924F" w14:textId="77777777" w:rsidR="008721E8" w:rsidRDefault="00000000">
            <w:pPr>
              <w:spacing w:line="276" w:lineRule="auto"/>
            </w:pPr>
            <w:r>
              <w:rPr>
                <w:sz w:val="20"/>
                <w:szCs w:val="20"/>
              </w:rPr>
              <w:t>Vital: growth-aligned turnover, creative disorder</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E96D703" w14:textId="77777777" w:rsidR="008721E8" w:rsidRDefault="00000000">
            <w:pPr>
              <w:spacing w:line="276" w:lineRule="auto"/>
            </w:pPr>
            <w:r>
              <w:rPr>
                <w:sz w:val="20"/>
                <w:szCs w:val="20"/>
              </w:rPr>
              <w:t>Transitional: some vital, some destructive</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C360AA" w14:textId="77777777" w:rsidR="008721E8" w:rsidRDefault="00000000">
            <w:pPr>
              <w:spacing w:line="276" w:lineRule="auto"/>
            </w:pPr>
            <w:r>
              <w:rPr>
                <w:sz w:val="20"/>
                <w:szCs w:val="20"/>
              </w:rPr>
              <w:t>Death (if GQ low): distress turnover, institutional collapse</w:t>
            </w:r>
          </w:p>
        </w:tc>
      </w:tr>
      <w:tr w:rsidR="008721E8" w14:paraId="1A22BF82" w14:textId="77777777">
        <w:tblPrEx>
          <w:tblCellMar>
            <w:top w:w="0" w:type="dxa"/>
            <w:bottom w:w="0" w:type="dxa"/>
          </w:tblCellMar>
        </w:tblPrEx>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DDFBD59" w14:textId="77777777" w:rsidR="008721E8" w:rsidRDefault="00000000">
            <w:pPr>
              <w:spacing w:line="276" w:lineRule="auto"/>
            </w:pPr>
            <w:r>
              <w:rPr>
                <w:sz w:val="20"/>
                <w:szCs w:val="20"/>
              </w:rPr>
              <w:t>Managerial role</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6FCF94" w14:textId="77777777" w:rsidR="008721E8" w:rsidRDefault="00000000">
            <w:pPr>
              <w:spacing w:line="276" w:lineRule="auto"/>
            </w:pPr>
            <w:r>
              <w:rPr>
                <w:sz w:val="20"/>
                <w:szCs w:val="20"/>
              </w:rPr>
              <w:t>Facilitate and prepare (complexity/chaos)</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B7B4F36" w14:textId="77777777" w:rsidR="008721E8" w:rsidRDefault="00000000">
            <w:pPr>
              <w:spacing w:line="276" w:lineRule="auto"/>
            </w:pPr>
            <w:r>
              <w:rPr>
                <w:sz w:val="20"/>
                <w:szCs w:val="20"/>
              </w:rPr>
              <w:t>Manage and facilitate (order/complexity)</w:t>
            </w:r>
          </w:p>
        </w:tc>
        <w:tc>
          <w:tcPr>
            <w:tcW w:w="26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9A9A6A" w14:textId="77777777" w:rsidR="008721E8" w:rsidRDefault="00000000">
            <w:pPr>
              <w:spacing w:line="276" w:lineRule="auto"/>
            </w:pPr>
            <w:r>
              <w:rPr>
                <w:sz w:val="20"/>
                <w:szCs w:val="20"/>
              </w:rPr>
              <w:t>Manage and steward (order with relational depth)</w:t>
            </w:r>
          </w:p>
        </w:tc>
      </w:tr>
    </w:tbl>
    <w:p w14:paraId="4219A063" w14:textId="77777777" w:rsidR="008721E8" w:rsidRDefault="008721E8">
      <w:pPr>
        <w:spacing w:line="480" w:lineRule="auto"/>
      </w:pPr>
    </w:p>
    <w:p w14:paraId="6C2ADEB6" w14:textId="77777777" w:rsidR="008721E8" w:rsidRDefault="008721E8">
      <w:pPr>
        <w:spacing w:line="480" w:lineRule="auto"/>
      </w:pPr>
    </w:p>
    <w:p w14:paraId="43AEE9C6" w14:textId="77777777" w:rsidR="008721E8" w:rsidRDefault="00000000">
      <w:pPr>
        <w:spacing w:line="480" w:lineRule="auto"/>
      </w:pPr>
      <w:r>
        <w:rPr>
          <w:b/>
          <w:bCs/>
          <w:i/>
          <w:iCs/>
        </w:rPr>
        <w:t xml:space="preserve">Table 2. </w:t>
      </w:r>
      <w:r>
        <w:t>Extraction Governance versus Covenant Governance</w:t>
      </w:r>
    </w:p>
    <w:p w14:paraId="284B1BEF" w14:textId="77777777" w:rsidR="008721E8" w:rsidRDefault="008721E8">
      <w:pPr>
        <w:spacing w:line="480"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3510"/>
        <w:gridCol w:w="3510"/>
      </w:tblGrid>
      <w:tr w:rsidR="008721E8" w14:paraId="56A0E978" w14:textId="77777777">
        <w:tblPrEx>
          <w:tblCellMar>
            <w:top w:w="0" w:type="dxa"/>
            <w:bottom w:w="0" w:type="dxa"/>
          </w:tblCellMar>
        </w:tblPrEx>
        <w:tc>
          <w:tcPr>
            <w:tcW w:w="234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14:paraId="647B72D8" w14:textId="77777777" w:rsidR="008721E8" w:rsidRDefault="00000000">
            <w:pPr>
              <w:spacing w:line="276" w:lineRule="auto"/>
            </w:pPr>
            <w:r>
              <w:rPr>
                <w:b/>
                <w:bCs/>
                <w:sz w:val="20"/>
                <w:szCs w:val="20"/>
              </w:rPr>
              <w:t>Dimension</w:t>
            </w:r>
          </w:p>
        </w:tc>
        <w:tc>
          <w:tcPr>
            <w:tcW w:w="351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14:paraId="6EF1AC32" w14:textId="77777777" w:rsidR="008721E8" w:rsidRDefault="00000000">
            <w:pPr>
              <w:spacing w:line="276" w:lineRule="auto"/>
            </w:pPr>
            <w:r>
              <w:rPr>
                <w:b/>
                <w:bCs/>
                <w:sz w:val="20"/>
                <w:szCs w:val="20"/>
              </w:rPr>
              <w:t>Extraction Governance</w:t>
            </w:r>
          </w:p>
        </w:tc>
        <w:tc>
          <w:tcPr>
            <w:tcW w:w="351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14:paraId="4867F14D" w14:textId="77777777" w:rsidR="008721E8" w:rsidRDefault="00000000">
            <w:pPr>
              <w:spacing w:line="276" w:lineRule="auto"/>
            </w:pPr>
            <w:r>
              <w:rPr>
                <w:b/>
                <w:bCs/>
                <w:sz w:val="20"/>
                <w:szCs w:val="20"/>
              </w:rPr>
              <w:t>Covenant Governance</w:t>
            </w:r>
          </w:p>
        </w:tc>
      </w:tr>
      <w:tr w:rsidR="008721E8" w14:paraId="130D0639" w14:textId="77777777">
        <w:tblPrEx>
          <w:tblCellMar>
            <w:top w:w="0" w:type="dxa"/>
            <w:bottom w:w="0" w:type="dxa"/>
          </w:tblCellMar>
        </w:tblPrEx>
        <w:tc>
          <w:tcPr>
            <w:tcW w:w="234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2979E8" w14:textId="77777777" w:rsidR="008721E8" w:rsidRDefault="00000000">
            <w:pPr>
              <w:spacing w:line="276" w:lineRule="auto"/>
            </w:pPr>
            <w:r>
              <w:rPr>
                <w:sz w:val="20"/>
                <w:szCs w:val="20"/>
              </w:rPr>
              <w:t>Contract type</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36A6E7" w14:textId="77777777" w:rsidR="008721E8" w:rsidRDefault="00000000">
            <w:pPr>
              <w:spacing w:line="276" w:lineRule="auto"/>
            </w:pPr>
            <w:r>
              <w:rPr>
                <w:sz w:val="20"/>
                <w:szCs w:val="20"/>
              </w:rPr>
              <w:t>Transactional: short-term, monetizable, limited mutual investment</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ADBBDE" w14:textId="77777777" w:rsidR="008721E8" w:rsidRDefault="00000000">
            <w:pPr>
              <w:spacing w:line="276" w:lineRule="auto"/>
            </w:pPr>
            <w:r>
              <w:rPr>
                <w:sz w:val="20"/>
                <w:szCs w:val="20"/>
              </w:rPr>
              <w:t>Relational: long-term, socio-emotional, high mutual investment</w:t>
            </w:r>
          </w:p>
        </w:tc>
      </w:tr>
      <w:tr w:rsidR="008721E8" w14:paraId="119801F6" w14:textId="77777777">
        <w:tblPrEx>
          <w:tblCellMar>
            <w:top w:w="0" w:type="dxa"/>
            <w:bottom w:w="0" w:type="dxa"/>
          </w:tblCellMar>
        </w:tblPrEx>
        <w:tc>
          <w:tcPr>
            <w:tcW w:w="234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472A0" w14:textId="77777777" w:rsidR="008721E8" w:rsidRDefault="00000000">
            <w:pPr>
              <w:spacing w:line="276" w:lineRule="auto"/>
            </w:pPr>
            <w:r>
              <w:rPr>
                <w:sz w:val="20"/>
                <w:szCs w:val="20"/>
              </w:rPr>
              <w:t>Primary target</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9E4DA0" w14:textId="77777777" w:rsidR="008721E8" w:rsidRDefault="00000000">
            <w:pPr>
              <w:spacing w:line="276" w:lineRule="auto"/>
            </w:pPr>
            <w:r>
              <w:rPr>
                <w:sz w:val="20"/>
                <w:szCs w:val="20"/>
              </w:rPr>
              <w:t>Optimize Performance UI (measurable, AI-replicable outputs)</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4C360" w14:textId="77777777" w:rsidR="008721E8" w:rsidRDefault="00000000">
            <w:pPr>
              <w:spacing w:line="276" w:lineRule="auto"/>
            </w:pPr>
            <w:r>
              <w:rPr>
                <w:sz w:val="20"/>
                <w:szCs w:val="20"/>
              </w:rPr>
              <w:t>Cultivate Core Code (identity-driven, inimitable capabilities)</w:t>
            </w:r>
          </w:p>
        </w:tc>
      </w:tr>
      <w:tr w:rsidR="008721E8" w14:paraId="04E3A5A7" w14:textId="77777777">
        <w:tblPrEx>
          <w:tblCellMar>
            <w:top w:w="0" w:type="dxa"/>
            <w:bottom w:w="0" w:type="dxa"/>
          </w:tblCellMar>
        </w:tblPrEx>
        <w:tc>
          <w:tcPr>
            <w:tcW w:w="234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FE3CE" w14:textId="77777777" w:rsidR="008721E8" w:rsidRDefault="00000000">
            <w:pPr>
              <w:spacing w:line="276" w:lineRule="auto"/>
            </w:pPr>
            <w:r>
              <w:rPr>
                <w:sz w:val="20"/>
                <w:szCs w:val="20"/>
              </w:rPr>
              <w:lastRenderedPageBreak/>
              <w:t>Crisis response</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231A79" w14:textId="77777777" w:rsidR="008721E8" w:rsidRDefault="00000000">
            <w:pPr>
              <w:spacing w:line="276" w:lineRule="auto"/>
            </w:pPr>
            <w:r>
              <w:rPr>
                <w:sz w:val="20"/>
                <w:szCs w:val="20"/>
              </w:rPr>
              <w:t>Rational exit: talent flight, lawsuits, institutional memory loss</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3BB561E" w14:textId="77777777" w:rsidR="008721E8" w:rsidRDefault="00000000">
            <w:pPr>
              <w:spacing w:line="276" w:lineRule="auto"/>
            </w:pPr>
            <w:r>
              <w:rPr>
                <w:sz w:val="20"/>
                <w:szCs w:val="20"/>
              </w:rPr>
              <w:t>Collective sacrifice via identity fusion; Credit Line of Trust drawn</w:t>
            </w:r>
          </w:p>
        </w:tc>
      </w:tr>
      <w:tr w:rsidR="008721E8" w14:paraId="44EFD46E" w14:textId="77777777">
        <w:tblPrEx>
          <w:tblCellMar>
            <w:top w:w="0" w:type="dxa"/>
            <w:bottom w:w="0" w:type="dxa"/>
          </w:tblCellMar>
        </w:tblPrEx>
        <w:tc>
          <w:tcPr>
            <w:tcW w:w="234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56A899" w14:textId="77777777" w:rsidR="008721E8" w:rsidRDefault="00000000">
            <w:pPr>
              <w:spacing w:line="276" w:lineRule="auto"/>
            </w:pPr>
            <w:r>
              <w:rPr>
                <w:sz w:val="20"/>
                <w:szCs w:val="20"/>
              </w:rPr>
              <w:t>Illustrative crisis cost</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38EC083" w14:textId="77777777" w:rsidR="008721E8" w:rsidRDefault="00000000">
            <w:pPr>
              <w:spacing w:line="276" w:lineRule="auto"/>
            </w:pPr>
            <w:r>
              <w:rPr>
                <w:sz w:val="20"/>
                <w:szCs w:val="20"/>
              </w:rPr>
              <w:t>~$8.2M (45X higher)</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67C2DA4" w14:textId="77777777" w:rsidR="008721E8" w:rsidRDefault="00000000">
            <w:pPr>
              <w:spacing w:line="276" w:lineRule="auto"/>
            </w:pPr>
            <w:r>
              <w:rPr>
                <w:sz w:val="20"/>
                <w:szCs w:val="20"/>
              </w:rPr>
              <w:t>~$180K (baseline)</w:t>
            </w:r>
          </w:p>
        </w:tc>
      </w:tr>
      <w:tr w:rsidR="008721E8" w14:paraId="4347AB0E" w14:textId="77777777">
        <w:tblPrEx>
          <w:tblCellMar>
            <w:top w:w="0" w:type="dxa"/>
            <w:bottom w:w="0" w:type="dxa"/>
          </w:tblCellMar>
        </w:tblPrEx>
        <w:tc>
          <w:tcPr>
            <w:tcW w:w="234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B5505C" w14:textId="77777777" w:rsidR="008721E8" w:rsidRDefault="00000000">
            <w:pPr>
              <w:spacing w:line="276" w:lineRule="auto"/>
            </w:pPr>
            <w:r>
              <w:rPr>
                <w:sz w:val="20"/>
                <w:szCs w:val="20"/>
              </w:rPr>
              <w:t>AI-era viability</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D8AF71" w14:textId="77777777" w:rsidR="008721E8" w:rsidRDefault="00000000">
            <w:pPr>
              <w:spacing w:line="276" w:lineRule="auto"/>
            </w:pPr>
            <w:r>
              <w:rPr>
                <w:sz w:val="20"/>
                <w:szCs w:val="20"/>
              </w:rPr>
              <w:t>Declining: optimizes for capabilities AI replicates</w:t>
            </w:r>
          </w:p>
        </w:tc>
        <w:tc>
          <w:tcPr>
            <w:tcW w:w="35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CF499B" w14:textId="77777777" w:rsidR="008721E8" w:rsidRDefault="00000000">
            <w:pPr>
              <w:spacing w:line="276" w:lineRule="auto"/>
            </w:pPr>
            <w:r>
              <w:rPr>
                <w:sz w:val="20"/>
                <w:szCs w:val="20"/>
              </w:rPr>
              <w:t>Increasing: cultivates capabilities AI cannot possess</w:t>
            </w:r>
          </w:p>
        </w:tc>
      </w:tr>
    </w:tbl>
    <w:p w14:paraId="2F7A1992" w14:textId="77777777" w:rsidR="008721E8" w:rsidRDefault="00000000">
      <w:pPr>
        <w:spacing w:before="480" w:after="240" w:line="480" w:lineRule="auto"/>
        <w:jc w:val="center"/>
      </w:pPr>
      <w:r>
        <w:rPr>
          <w:b/>
          <w:bCs/>
        </w:rPr>
        <w:t>DISCUSSION</w:t>
      </w:r>
    </w:p>
    <w:p w14:paraId="7A33B593" w14:textId="77777777" w:rsidR="008721E8" w:rsidRDefault="00000000">
      <w:pPr>
        <w:spacing w:before="360" w:after="120" w:line="480" w:lineRule="auto"/>
      </w:pPr>
      <w:r>
        <w:rPr>
          <w:b/>
          <w:bCs/>
          <w:i/>
          <w:iCs/>
        </w:rPr>
        <w:t>Theoretical Contributions</w:t>
      </w:r>
    </w:p>
    <w:p w14:paraId="2CC9C9CE" w14:textId="77777777" w:rsidR="008721E8" w:rsidRDefault="00000000">
      <w:pPr>
        <w:spacing w:line="480" w:lineRule="auto"/>
      </w:pPr>
      <w:r>
        <w:t>DDRT makes three primary contributions to strategic organization scholarship. First, it resolves the chaos paradox by formalizing the Dividend Offset Mechanism, which specifies when internal turbulence is productive and when it is destructive. This mechanism integrates previously disconnected findings from HGF research (strong growth coexisting with weak management), complexity theory (productive versus destructive turbulence), and management practice research (contingent returns to management quality) into a single, parsimonious framework. The key insight—that identical surface chaos corresponds to qualitatively different underlying dynamics depending on external dividend strength—reframes how scholars and practitioners interpret organizational disorder.</w:t>
      </w:r>
    </w:p>
    <w:p w14:paraId="544FB1FC" w14:textId="77777777" w:rsidR="008721E8" w:rsidRDefault="00000000">
      <w:pPr>
        <w:spacing w:line="480" w:lineRule="auto"/>
        <w:ind w:firstLine="720"/>
      </w:pPr>
      <w:r>
        <w:t>Second, DDRT introduces the Driver Replacement Inflection Point as a theoretically grounded construct for understanding organizational transitions. Unlike Greiner’s (1972) crisis-based transitions, which are triggered by specific managerial problems, the inflection point is defined by the shifting relative weights of external and internal competitive factors. This formulation is less deterministic than classic OLC models and more amenable to empirical measurement, as it can be operationalized through observable changes in PMD and GQ.</w:t>
      </w:r>
    </w:p>
    <w:p w14:paraId="106BFBB3" w14:textId="77777777" w:rsidR="008721E8" w:rsidRDefault="00000000">
      <w:pPr>
        <w:spacing w:line="480" w:lineRule="auto"/>
        <w:ind w:firstLine="720"/>
      </w:pPr>
      <w:r>
        <w:t xml:space="preserve">Third, by integrating Covenant Governance with the life-cycle framework, DDRT provides an answer not only to when internal governance becomes decisive but also to what kind </w:t>
      </w:r>
      <w:r>
        <w:lastRenderedPageBreak/>
        <w:t>of governance matters. Prior life-cycle models call for “more formalization” or “professional management” at maturity stages but do not differentiate among governance types. DDRT specifies that extraction-based governance—even when professionally implemented—fails in Domain γ because it cannot generate the Credit Line of Trust that converts to crisis resilience. Only Covenant Governance, with its emphasis on relational contracts and identity-based commitment, produces the Survival Premium that sustains organizations through existential shocks.</w:t>
      </w:r>
    </w:p>
    <w:p w14:paraId="19A3ABC4" w14:textId="77777777" w:rsidR="008721E8" w:rsidRDefault="00000000">
      <w:pPr>
        <w:spacing w:before="360" w:after="120" w:line="480" w:lineRule="auto"/>
      </w:pPr>
      <w:r>
        <w:rPr>
          <w:b/>
          <w:bCs/>
          <w:i/>
          <w:iCs/>
        </w:rPr>
        <w:t>Practical Implications</w:t>
      </w:r>
    </w:p>
    <w:p w14:paraId="37013859" w14:textId="77777777" w:rsidR="008721E8" w:rsidRDefault="00000000">
      <w:pPr>
        <w:spacing w:line="480" w:lineRule="auto"/>
      </w:pPr>
      <w:r>
        <w:t>DDRT offers several actionable implications for organizational leaders and investors. First, the theory counsels against premature formalization: imposing elaborate management structures during Domain α may suppress the speed and experimentation that sustain PMD, without producing compensating governance benefits. Leaders in high-growth firms should tolerate functional chaos while monitoring for signs that turnover is shifting from growth-aligned to distress-driven—an early warning that the Dividend Offset is weakening.</w:t>
      </w:r>
    </w:p>
    <w:p w14:paraId="44DB865F" w14:textId="77777777" w:rsidR="008721E8" w:rsidRDefault="00000000">
      <w:pPr>
        <w:spacing w:line="480" w:lineRule="auto"/>
        <w:ind w:firstLine="720"/>
      </w:pPr>
      <w:r>
        <w:t>Second, DDRT identifies the Driver Replacement Inflection Point as the most strategically important moment in a firm’s life cycle. Leaders must begin building governance quality—and specifically, the relational foundations of Covenant Governance—while PMD is still strong, because relational capital accumulates slowly and cannot be purchased or installed during a crisis. Firms that wait until external dividends are visibly declining before investing in governance will discover that the timeline for building a Credit Line of Trust exceeds the timeline for PMD erosion.</w:t>
      </w:r>
    </w:p>
    <w:p w14:paraId="34BED4C3" w14:textId="77777777" w:rsidR="008721E8" w:rsidRDefault="00000000">
      <w:pPr>
        <w:spacing w:line="480" w:lineRule="auto"/>
        <w:ind w:firstLine="720"/>
      </w:pPr>
      <w:r>
        <w:t xml:space="preserve">Third, the theory reframes the AI disruption debate for practitioners. As AI commoditizes Performance UI capabilities, the strategic question for organizations shifts from “How do we </w:t>
      </w:r>
      <w:r>
        <w:lastRenderedPageBreak/>
        <w:t>optimize measurable outputs?” to “How do we cultivate the identity-based human capabilities that AI cannot replicate?” DDRT provides a clear answer: through Covenant Governance that treats employees as persons with intrinsic worth rather than as replaceable inputs, building the Core Code capabilities—moral courage, crisis intuition, collective sacrifice capacity—that constitute the only remaining sources of sustainable competitive advantage.</w:t>
      </w:r>
    </w:p>
    <w:p w14:paraId="17F5060C" w14:textId="77777777" w:rsidR="008721E8" w:rsidRDefault="00000000">
      <w:pPr>
        <w:spacing w:before="360" w:after="120" w:line="480" w:lineRule="auto"/>
      </w:pPr>
      <w:r>
        <w:rPr>
          <w:b/>
          <w:bCs/>
          <w:i/>
          <w:iCs/>
        </w:rPr>
        <w:t>Future Research Agenda</w:t>
      </w:r>
    </w:p>
    <w:p w14:paraId="2DF5BF98" w14:textId="77777777" w:rsidR="008721E8" w:rsidRDefault="00000000">
      <w:pPr>
        <w:spacing w:line="480" w:lineRule="auto"/>
      </w:pPr>
      <w:r>
        <w:t>DDRT generates a rich empirical agenda. We identify four priority research directions.</w:t>
      </w:r>
    </w:p>
    <w:p w14:paraId="47C3FDC3" w14:textId="77777777" w:rsidR="008721E8" w:rsidRDefault="00000000">
      <w:pPr>
        <w:spacing w:line="480" w:lineRule="auto"/>
        <w:ind w:firstLine="720"/>
      </w:pPr>
      <w:r>
        <w:rPr>
          <w:b/>
          <w:bCs/>
        </w:rPr>
        <w:t xml:space="preserve">Longitudinal panel studies. </w:t>
      </w:r>
      <w:r>
        <w:t>The most direct test of DDRT’s core propositions requires longitudinal firm-level data spanning at least 5–10 years. The dependent variable (EGV) can be constructed from financial databases (Compustat, Capital IQ, Refinitiv). PMD can be operationalized through market share data (Gartner, IDC), gross margin premiums, and R&amp;D conversion rates. IFI can be measured through employee turnover rates (LinkedIn Talent Insights), executive departure frequency (BoardEx, 10-K filings), and organizational culture indicators (Glassdoor, Indeed). GQ can be assessed through management practice surveys (World Management Survey replication) and employee evaluation data. Panel fixed-effects models with lagged predictors and interaction terms—particularly the PMD × IFI interaction that captures the Dividend Offset—would provide the primary identification strategy.</w:t>
      </w:r>
    </w:p>
    <w:p w14:paraId="44EB0FFC" w14:textId="77777777" w:rsidR="008721E8" w:rsidRDefault="00000000">
      <w:pPr>
        <w:spacing w:line="480" w:lineRule="auto"/>
        <w:ind w:firstLine="720"/>
      </w:pPr>
      <w:r>
        <w:rPr>
          <w:b/>
          <w:bCs/>
        </w:rPr>
        <w:t xml:space="preserve">Turnover typology studies. </w:t>
      </w:r>
      <w:r>
        <w:t>Proposition 2 distinguishes growth-aligned from distress-driven turnover. Testing this distinction requires combining quantitative turnover data with qualitative indicators of turnover character. Text analysis of employee review platforms (sentiment analysis, topic modeling) can differentiate organizations where departing employees cite growth opportunities and pace from those where departures reflect dysfunction and demoralization. Latent class models can then match turnover types to growth trajectories.</w:t>
      </w:r>
    </w:p>
    <w:p w14:paraId="08D110D7" w14:textId="77777777" w:rsidR="008721E8" w:rsidRDefault="00000000">
      <w:pPr>
        <w:spacing w:line="480" w:lineRule="auto"/>
        <w:ind w:firstLine="720"/>
      </w:pPr>
      <w:r>
        <w:rPr>
          <w:b/>
          <w:bCs/>
        </w:rPr>
        <w:lastRenderedPageBreak/>
        <w:t xml:space="preserve">Natural experiment designs. </w:t>
      </w:r>
      <w:r>
        <w:t>Exogenous shocks that affect PMD but not IFI—regulatory changes, demand shocks, trade disruptions—provide opportunities for causal identification. When external dividends collapse unexpectedly, DDRT predicts that firms with high GQ (Covenant Governance) will sustain performance while firms with low GQ (extraction governance) will experience accelerating decline. Difference-in-differences designs around such shocks can test Propositions 3, 4, and 7.</w:t>
      </w:r>
    </w:p>
    <w:p w14:paraId="577FB6DC" w14:textId="77777777" w:rsidR="008721E8" w:rsidRDefault="00000000">
      <w:pPr>
        <w:spacing w:line="480" w:lineRule="auto"/>
        <w:ind w:firstLine="720"/>
      </w:pPr>
      <w:r>
        <w:rPr>
          <w:b/>
          <w:bCs/>
        </w:rPr>
        <w:t xml:space="preserve">Cross-cultural comparative studies. </w:t>
      </w:r>
      <w:r>
        <w:t>DDRT’s predictions about Covenant Governance may manifest differently across institutional environments. Comparative research examining how firms in different national contexts navigate the Driver Replacement Inflection Point—and whether functionally equivalent Covenant Governance forms emerge across cultures—would establish the theory’s generalizability and identify culturally specific boundary conditions.</w:t>
      </w:r>
    </w:p>
    <w:p w14:paraId="5996FCF2" w14:textId="77777777" w:rsidR="008721E8" w:rsidRDefault="00000000">
      <w:pPr>
        <w:spacing w:before="480" w:after="240" w:line="480" w:lineRule="auto"/>
        <w:jc w:val="center"/>
      </w:pPr>
      <w:r>
        <w:rPr>
          <w:b/>
          <w:bCs/>
        </w:rPr>
        <w:t>CONCLUSION</w:t>
      </w:r>
    </w:p>
    <w:p w14:paraId="1072C6C1" w14:textId="77777777" w:rsidR="008721E8" w:rsidRDefault="00000000">
      <w:pPr>
        <w:spacing w:line="480" w:lineRule="auto"/>
      </w:pPr>
      <w:r>
        <w:t>Dynamic Driver Replacement Theory addresses a fundamental question in strategic organization: why does the same observable organizational “chaos” accompany extraordinary growth in some contexts and catastrophic decline in others? By specifying how the strategic importance of external dividends and internal governance shifts across developmental domains, DDRT provides a unified framework that integrates organizational life-cycle theory, high-growth firm research, complexity theory, and management practice scholarship. The Dividend Offset Mechanism explains when turbulence is vital; the Driver Replacement Inflection Point identifies when governance becomes decisive; and Covenant Governance specifies the institutional form that sustains competitive advantage when external advantages erode and artificial intelligence commoditizes codifiable capabilities.</w:t>
      </w:r>
    </w:p>
    <w:p w14:paraId="1E3F90BD" w14:textId="77777777" w:rsidR="008721E8" w:rsidRDefault="00000000">
      <w:pPr>
        <w:spacing w:line="480" w:lineRule="auto"/>
        <w:ind w:firstLine="720"/>
      </w:pPr>
      <w:r>
        <w:lastRenderedPageBreak/>
        <w:t>The theory carries an urgent practical implication. Organizations that rely on extraction governance while riding high product–market dividends are building on a foundation that will prove catastrophically inadequate when those dividends diminish—as they inevitably will. The time to build Covenant Governance is during prosperity, not crisis, because the Credit Line of Trust that enables collective sacrifice cannot be accumulated under emergency conditions. In an era when artificial intelligence threatens to commoditize every codifiable human capability, the organizations that will endure are those that cultivate the identity-based capabilities—moral courage, nonlinear intuition, and collective sacrifice—that algorithms cannot possess and extraction governance cannot produce.</w:t>
      </w:r>
    </w:p>
    <w:p w14:paraId="07A06619" w14:textId="77777777" w:rsidR="008721E8" w:rsidRDefault="00000000">
      <w:pPr>
        <w:spacing w:line="480" w:lineRule="auto"/>
        <w:ind w:firstLine="720"/>
      </w:pPr>
      <w:r>
        <w:t>The wolves may win sprints. The homes will endure.</w:t>
      </w:r>
    </w:p>
    <w:p w14:paraId="2F7992D7" w14:textId="77777777" w:rsidR="008721E8" w:rsidRDefault="00000000">
      <w:r>
        <w:br w:type="page"/>
      </w:r>
    </w:p>
    <w:p w14:paraId="66032010" w14:textId="77777777" w:rsidR="008721E8" w:rsidRDefault="00000000">
      <w:pPr>
        <w:spacing w:before="480" w:after="240" w:line="480" w:lineRule="auto"/>
        <w:jc w:val="center"/>
      </w:pPr>
      <w:r>
        <w:rPr>
          <w:b/>
          <w:bCs/>
        </w:rPr>
        <w:lastRenderedPageBreak/>
        <w:t>REFERENCES</w:t>
      </w:r>
    </w:p>
    <w:p w14:paraId="20F1FD7A" w14:textId="77777777" w:rsidR="008721E8" w:rsidRDefault="00000000">
      <w:pPr>
        <w:spacing w:after="80" w:line="480" w:lineRule="auto"/>
        <w:ind w:left="720" w:hanging="720"/>
      </w:pPr>
      <w:r>
        <w:t>Anderson, P. (1999) 'Complexity Theory and Organization Science', Organization Science 10(3): 216–232.</w:t>
      </w:r>
    </w:p>
    <w:p w14:paraId="7E95E7DD" w14:textId="77777777" w:rsidR="008721E8" w:rsidRDefault="00000000">
      <w:pPr>
        <w:spacing w:after="80" w:line="480" w:lineRule="auto"/>
        <w:ind w:left="720" w:hanging="720"/>
      </w:pPr>
      <w:r>
        <w:t>Author (2025a) '[Details removed for anonymous review]'.</w:t>
      </w:r>
    </w:p>
    <w:p w14:paraId="57ED127A" w14:textId="77777777" w:rsidR="008721E8" w:rsidRDefault="00000000">
      <w:pPr>
        <w:spacing w:after="80" w:line="480" w:lineRule="auto"/>
        <w:ind w:left="720" w:hanging="720"/>
      </w:pPr>
      <w:r>
        <w:t>Author (2025b) '[Details removed for anonymous review]'.</w:t>
      </w:r>
    </w:p>
    <w:p w14:paraId="3CEAC2A3" w14:textId="77777777" w:rsidR="008721E8" w:rsidRDefault="00000000">
      <w:pPr>
        <w:spacing w:after="80" w:line="480" w:lineRule="auto"/>
        <w:ind w:left="720" w:hanging="720"/>
      </w:pPr>
      <w:r>
        <w:t>Barney, J. (1991) 'Firm Resources and Sustained Competitive Advantage', Journal of Management 17(1): 99–120.</w:t>
      </w:r>
    </w:p>
    <w:p w14:paraId="1539CBC6" w14:textId="77777777" w:rsidR="008721E8" w:rsidRDefault="00000000">
      <w:pPr>
        <w:spacing w:after="80" w:line="480" w:lineRule="auto"/>
        <w:ind w:left="720" w:hanging="720"/>
      </w:pPr>
      <w:r>
        <w:t>Bloom, N. and Van Reenen, J. (2007) 'Measuring and Explaining Management Practices across Firms and Countries', Quarterly Journal of Economics 122(4): 1351–1408.</w:t>
      </w:r>
    </w:p>
    <w:p w14:paraId="654B1543" w14:textId="77777777" w:rsidR="008721E8" w:rsidRDefault="00000000">
      <w:pPr>
        <w:spacing w:after="80" w:line="480" w:lineRule="auto"/>
        <w:ind w:left="720" w:hanging="720"/>
      </w:pPr>
      <w:r>
        <w:t>Bloom, N., Sadun, R. and Van Reenen, J. (2012) 'The Organization of Firms across Countries', Quarterly Journal of Economics 127(4): 1663–1705.</w:t>
      </w:r>
    </w:p>
    <w:p w14:paraId="0C7B9D3C" w14:textId="77777777" w:rsidR="008721E8" w:rsidRDefault="00000000">
      <w:pPr>
        <w:spacing w:after="80" w:line="480" w:lineRule="auto"/>
        <w:ind w:left="720" w:hanging="720"/>
      </w:pPr>
      <w:r>
        <w:t>Coad, A., Daunfeldt, S.-O., Hölzl, W., Johansson, D. and Nightingale, P. (2014) 'High-Growth Firms: Introduction to the Special Section', Industrial and Corporate Change 23(1): 91–112.</w:t>
      </w:r>
    </w:p>
    <w:p w14:paraId="7D4BBDDE" w14:textId="77777777" w:rsidR="008721E8" w:rsidRDefault="00000000">
      <w:pPr>
        <w:spacing w:after="80" w:line="480" w:lineRule="auto"/>
        <w:ind w:left="720" w:hanging="720"/>
      </w:pPr>
      <w:r>
        <w:t>Demir, R., Wennberg, K. and McKelvie, A. (2017) 'The Strategic Management of High-Growth Firms: A Review and Theoretical Conceptualization', Long Range Planning 50(4): 431–456.</w:t>
      </w:r>
    </w:p>
    <w:p w14:paraId="5DBFDAE4" w14:textId="77777777" w:rsidR="008721E8" w:rsidRDefault="00000000">
      <w:pPr>
        <w:spacing w:after="80" w:line="480" w:lineRule="auto"/>
        <w:ind w:left="720" w:hanging="720"/>
      </w:pPr>
      <w:r>
        <w:t>Dierickx, I. and Cool, K. (1989) 'Asset Stock Accumulation and Sustainability of Competitive Advantage', Management Science 35(12): 1504–1511.</w:t>
      </w:r>
    </w:p>
    <w:p w14:paraId="243D5697" w14:textId="77777777" w:rsidR="008721E8" w:rsidRDefault="00000000">
      <w:pPr>
        <w:spacing w:after="80" w:line="480" w:lineRule="auto"/>
        <w:ind w:left="720" w:hanging="720"/>
      </w:pPr>
      <w:r>
        <w:t>Greiner, L. E. (1972) 'Evolution and Revolution as Organizations Grow', Harvard Business Review 50(4): 37–46.</w:t>
      </w:r>
    </w:p>
    <w:p w14:paraId="602F98B3" w14:textId="77777777" w:rsidR="008721E8" w:rsidRDefault="00000000">
      <w:pPr>
        <w:spacing w:after="80" w:line="480" w:lineRule="auto"/>
        <w:ind w:left="720" w:hanging="720"/>
      </w:pPr>
      <w:r>
        <w:lastRenderedPageBreak/>
        <w:t>Habersang, S., Küberling, J., Reihlen, M. and Seckler, C. (2019) 'A Process Perspective on the Organizational Life Cycle: A Review and Agenda for Future Research', Schmalenbach Business Review 71(2): 217–253.</w:t>
      </w:r>
    </w:p>
    <w:p w14:paraId="1D01ED8F" w14:textId="77777777" w:rsidR="008721E8" w:rsidRDefault="00000000">
      <w:pPr>
        <w:spacing w:after="80" w:line="480" w:lineRule="auto"/>
        <w:ind w:left="720" w:hanging="720"/>
      </w:pPr>
      <w:r>
        <w:t>Hanks, S. H., Watson, C. J., Jansen, E. and Chandler, G. N. (1993) 'Tightening the Life-Cycle Construct: A Taxonomic Study of Growth Stage Configurations in High-Technology Organizations', Entrepreneurship Theory and Practice 18(2): 5–29.</w:t>
      </w:r>
    </w:p>
    <w:p w14:paraId="6E035B51" w14:textId="77777777" w:rsidR="008721E8" w:rsidRDefault="00000000">
      <w:pPr>
        <w:spacing w:after="80" w:line="480" w:lineRule="auto"/>
        <w:ind w:left="720" w:hanging="720"/>
      </w:pPr>
      <w:r>
        <w:t>Hannah, S. T., Avolio, B. J. and Walumbwa, F. O. (2011) 'Relationships between Authentic Leadership, Moral Courage, and Ethical and Pro-social Behaviors', Business Ethics Quarterly 21(4): 555–578.</w:t>
      </w:r>
    </w:p>
    <w:p w14:paraId="11D32080" w14:textId="77777777" w:rsidR="008721E8" w:rsidRDefault="00000000">
      <w:pPr>
        <w:spacing w:after="80" w:line="480" w:lineRule="auto"/>
        <w:ind w:left="720" w:hanging="720"/>
      </w:pPr>
      <w:r>
        <w:t>Henrekson, M. and Johansson, D. (2010) 'Gazelles as Job Creators: A Survey and Interpretation of the Evidence', Small Business Economics 35(2): 227–244.</w:t>
      </w:r>
    </w:p>
    <w:p w14:paraId="6B927B88" w14:textId="77777777" w:rsidR="008721E8" w:rsidRDefault="00000000">
      <w:pPr>
        <w:spacing w:after="80" w:line="480" w:lineRule="auto"/>
        <w:ind w:left="720" w:hanging="720"/>
      </w:pPr>
      <w:r>
        <w:t>Hinge Research Institute (2025) High Growth Study 2025. Reston, VA: Hinge Research Institute.</w:t>
      </w:r>
    </w:p>
    <w:p w14:paraId="6D99F09D" w14:textId="77777777" w:rsidR="008721E8" w:rsidRDefault="00000000">
      <w:pPr>
        <w:spacing w:after="80" w:line="480" w:lineRule="auto"/>
        <w:ind w:left="720" w:hanging="720"/>
      </w:pPr>
      <w:r>
        <w:t>Levie, J. and Lichtenstein, B. B. (2010) 'A Terminal Assessment of Stages Theory: Introducing a Dynamic States Approach to Entrepreneurship', Entrepreneurship Theory and Practice 34(2): 317–350.</w:t>
      </w:r>
    </w:p>
    <w:p w14:paraId="45B09991" w14:textId="77777777" w:rsidR="008721E8" w:rsidRDefault="00000000">
      <w:pPr>
        <w:spacing w:after="80" w:line="480" w:lineRule="auto"/>
        <w:ind w:left="720" w:hanging="720"/>
      </w:pPr>
      <w:r>
        <w:t>Mayer, R. C., Davis, J. H. and Schoorman, F. D. (1995) 'An Integrative Model of Organizational Trust', Academy of Management Review 20(3): 709–734.</w:t>
      </w:r>
    </w:p>
    <w:p w14:paraId="2300241F" w14:textId="77777777" w:rsidR="008721E8" w:rsidRDefault="00000000">
      <w:pPr>
        <w:spacing w:after="80" w:line="480" w:lineRule="auto"/>
        <w:ind w:left="720" w:hanging="720"/>
      </w:pPr>
      <w:r>
        <w:t>Miller, D. and Friesen, P. H. (1984) 'A Longitudinal Study of the Corporate Life Cycle', Management Science 30(10): 1161–1183.</w:t>
      </w:r>
    </w:p>
    <w:p w14:paraId="577687EF" w14:textId="77777777" w:rsidR="008721E8" w:rsidRDefault="00000000">
      <w:pPr>
        <w:spacing w:after="80" w:line="480" w:lineRule="auto"/>
        <w:ind w:left="720" w:hanging="720"/>
      </w:pPr>
      <w:r>
        <w:t>Olson, M. (1965) The Logic of Collective Action: Public Goods and the Theory of Groups. Cambridge, MA: Harvard University Press.</w:t>
      </w:r>
    </w:p>
    <w:p w14:paraId="7949D162" w14:textId="77777777" w:rsidR="008721E8" w:rsidRDefault="00000000">
      <w:pPr>
        <w:spacing w:after="80" w:line="480" w:lineRule="auto"/>
        <w:ind w:left="720" w:hanging="720"/>
      </w:pPr>
      <w:r>
        <w:lastRenderedPageBreak/>
        <w:t>Polanyi, M. (1966) The Tacit Dimension. Garden City, NY: Doubleday.</w:t>
      </w:r>
    </w:p>
    <w:p w14:paraId="1FF29C95" w14:textId="77777777" w:rsidR="008721E8" w:rsidRDefault="00000000">
      <w:pPr>
        <w:spacing w:after="80" w:line="480" w:lineRule="auto"/>
        <w:ind w:left="720" w:hanging="720"/>
      </w:pPr>
      <w:r>
        <w:t>Quinn, R. E. and Cameron, K. (1983) 'Organizational Life Cycles and Shifting Criteria of Effectiveness: Some Preliminary Evidence', Management Science 29(1): 33–51.</w:t>
      </w:r>
    </w:p>
    <w:p w14:paraId="396DBCE5" w14:textId="77777777" w:rsidR="008721E8" w:rsidRDefault="00000000">
      <w:pPr>
        <w:spacing w:after="80" w:line="480" w:lineRule="auto"/>
        <w:ind w:left="720" w:hanging="720"/>
      </w:pPr>
      <w:r>
        <w:t>Rousseau, D. M. (1995) Psychological Contracts in Organizations: Understanding Written and Unwritten Agreements. Thousand Oaks, CA: Sage.</w:t>
      </w:r>
    </w:p>
    <w:p w14:paraId="41F482F2" w14:textId="77777777" w:rsidR="008721E8" w:rsidRDefault="00000000">
      <w:pPr>
        <w:spacing w:after="80" w:line="480" w:lineRule="auto"/>
        <w:ind w:left="720" w:hanging="720"/>
      </w:pPr>
      <w:r>
        <w:t>Snowden, D. J. and Boone, M. E. (2007) 'A Leader’s Framework for Decision Making', Harvard Business Review 85(11): 68–76.</w:t>
      </w:r>
    </w:p>
    <w:p w14:paraId="5C504B04" w14:textId="77777777" w:rsidR="008721E8" w:rsidRDefault="00000000">
      <w:pPr>
        <w:spacing w:after="80" w:line="480" w:lineRule="auto"/>
        <w:ind w:left="720" w:hanging="720"/>
      </w:pPr>
      <w:r>
        <w:t>Stacey, R. D. (1995) 'The Science of Complexity: An Alternative Perspective for Strategic Change Processes', Strategic Management Journal 16(6): 477–495.</w:t>
      </w:r>
    </w:p>
    <w:p w14:paraId="0F5AAEC6" w14:textId="77777777" w:rsidR="008721E8" w:rsidRDefault="00000000">
      <w:pPr>
        <w:spacing w:after="80" w:line="480" w:lineRule="auto"/>
        <w:ind w:left="720" w:hanging="720"/>
      </w:pPr>
      <w:r>
        <w:t>Swann, W. B., Jr., Jetten, J., Gómez, A., Whitehouse, H. and Bastian, B. (2012) 'When Group Membership Gets Personal: A Theory of Identity Fusion', Psychological Review 119(3): 441–456.</w:t>
      </w:r>
    </w:p>
    <w:sectPr w:rsidR="008721E8">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908C" w14:textId="77777777" w:rsidR="00B26E69" w:rsidRDefault="00B26E69">
      <w:r>
        <w:separator/>
      </w:r>
    </w:p>
  </w:endnote>
  <w:endnote w:type="continuationSeparator" w:id="0">
    <w:p w14:paraId="40B7D5C8" w14:textId="77777777" w:rsidR="00B26E69" w:rsidRDefault="00B2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CB631" w14:textId="77777777" w:rsidR="00B26E69" w:rsidRDefault="00B26E69">
      <w:r>
        <w:separator/>
      </w:r>
    </w:p>
  </w:footnote>
  <w:footnote w:type="continuationSeparator" w:id="0">
    <w:p w14:paraId="5FE32596" w14:textId="77777777" w:rsidR="00B26E69" w:rsidRDefault="00B26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4550" w14:textId="77777777" w:rsidR="008721E8" w:rsidRDefault="00000000">
    <w:pPr>
      <w:jc w:val="right"/>
    </w:pPr>
    <w:r>
      <w:rPr>
        <w:sz w:val="20"/>
        <w:szCs w:val="20"/>
      </w:rPr>
      <w:t xml:space="preserve">DYNAMIC DRIVER REPLACEMENT THEORY    </w:t>
    </w:r>
    <w:r>
      <w:rPr>
        <w:sz w:val="20"/>
        <w:szCs w:val="20"/>
      </w:rPr>
      <w:fldChar w:fldCharType="begin"/>
    </w:r>
    <w:r>
      <w:rPr>
        <w:sz w:val="20"/>
        <w:szCs w:val="20"/>
      </w:rPr>
      <w:instrText>PAGE</w:instrText>
    </w:r>
    <w:r>
      <w:rPr>
        <w:sz w:val="20"/>
        <w:szCs w:val="20"/>
      </w:rPr>
      <w:fldChar w:fldCharType="separate"/>
    </w:r>
    <w:r w:rsidR="00390D02">
      <w:rPr>
        <w:noProof/>
        <w:sz w:val="20"/>
        <w:szCs w:val="20"/>
      </w:rPr>
      <w:t>1</w:t>
    </w:r>
    <w:r>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55CCD"/>
    <w:multiLevelType w:val="hybridMultilevel"/>
    <w:tmpl w:val="CCDE11AA"/>
    <w:lvl w:ilvl="0" w:tplc="1CCC34AA">
      <w:start w:val="1"/>
      <w:numFmt w:val="bullet"/>
      <w:lvlText w:val="●"/>
      <w:lvlJc w:val="left"/>
      <w:pPr>
        <w:ind w:left="720" w:hanging="360"/>
      </w:pPr>
    </w:lvl>
    <w:lvl w:ilvl="1" w:tplc="DFFAF7F6">
      <w:start w:val="1"/>
      <w:numFmt w:val="bullet"/>
      <w:lvlText w:val="○"/>
      <w:lvlJc w:val="left"/>
      <w:pPr>
        <w:ind w:left="1440" w:hanging="360"/>
      </w:pPr>
    </w:lvl>
    <w:lvl w:ilvl="2" w:tplc="54547310">
      <w:start w:val="1"/>
      <w:numFmt w:val="bullet"/>
      <w:lvlText w:val="■"/>
      <w:lvlJc w:val="left"/>
      <w:pPr>
        <w:ind w:left="2160" w:hanging="360"/>
      </w:pPr>
    </w:lvl>
    <w:lvl w:ilvl="3" w:tplc="CD1EA5B2">
      <w:start w:val="1"/>
      <w:numFmt w:val="bullet"/>
      <w:lvlText w:val="●"/>
      <w:lvlJc w:val="left"/>
      <w:pPr>
        <w:ind w:left="2880" w:hanging="360"/>
      </w:pPr>
    </w:lvl>
    <w:lvl w:ilvl="4" w:tplc="4FA60AC0">
      <w:start w:val="1"/>
      <w:numFmt w:val="bullet"/>
      <w:lvlText w:val="○"/>
      <w:lvlJc w:val="left"/>
      <w:pPr>
        <w:ind w:left="3600" w:hanging="360"/>
      </w:pPr>
    </w:lvl>
    <w:lvl w:ilvl="5" w:tplc="D07EF47E">
      <w:start w:val="1"/>
      <w:numFmt w:val="bullet"/>
      <w:lvlText w:val="■"/>
      <w:lvlJc w:val="left"/>
      <w:pPr>
        <w:ind w:left="4320" w:hanging="360"/>
      </w:pPr>
    </w:lvl>
    <w:lvl w:ilvl="6" w:tplc="246826DE">
      <w:start w:val="1"/>
      <w:numFmt w:val="bullet"/>
      <w:lvlText w:val="●"/>
      <w:lvlJc w:val="left"/>
      <w:pPr>
        <w:ind w:left="5040" w:hanging="360"/>
      </w:pPr>
    </w:lvl>
    <w:lvl w:ilvl="7" w:tplc="6194E6BC">
      <w:start w:val="1"/>
      <w:numFmt w:val="bullet"/>
      <w:lvlText w:val="●"/>
      <w:lvlJc w:val="left"/>
      <w:pPr>
        <w:ind w:left="5760" w:hanging="360"/>
      </w:pPr>
    </w:lvl>
    <w:lvl w:ilvl="8" w:tplc="730AD0F4">
      <w:start w:val="1"/>
      <w:numFmt w:val="bullet"/>
      <w:lvlText w:val="●"/>
      <w:lvlJc w:val="left"/>
      <w:pPr>
        <w:ind w:left="6480" w:hanging="360"/>
      </w:pPr>
    </w:lvl>
  </w:abstractNum>
  <w:num w:numId="1" w16cid:durableId="873839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1E8"/>
    <w:rsid w:val="00390D02"/>
    <w:rsid w:val="008721E8"/>
    <w:rsid w:val="00B26E69"/>
    <w:rsid w:val="00CE3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89C8DA7"/>
  <w15:docId w15:val="{62B69B93-3F46-4C43-A018-9CE23277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line="480" w:lineRule="auto"/>
      <w:jc w:val="center"/>
      <w:outlineLvl w:val="0"/>
    </w:pPr>
    <w:rPr>
      <w:b/>
      <w:bCs/>
    </w:rPr>
  </w:style>
  <w:style w:type="paragraph" w:styleId="Heading2">
    <w:name w:val="heading 2"/>
    <w:uiPriority w:val="9"/>
    <w:semiHidden/>
    <w:unhideWhenUsed/>
    <w:qFormat/>
    <w:pPr>
      <w:spacing w:before="360" w:after="120" w:line="480" w:lineRule="auto"/>
      <w:outlineLvl w:val="1"/>
    </w:pPr>
    <w:rPr>
      <w:b/>
      <w:bCs/>
      <w:i/>
      <w:i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6159</Words>
  <Characters>40759</Characters>
  <Application>Microsoft Office Word</Application>
  <DocSecurity>0</DocSecurity>
  <Lines>653</Lines>
  <Paragraphs>176</Paragraphs>
  <ScaleCrop>false</ScaleCrop>
  <Company/>
  <LinksUpToDate>false</LinksUpToDate>
  <CharactersWithSpaces>46639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Tong Yin</cp:lastModifiedBy>
  <cp:revision>2</cp:revision>
  <dcterms:created xsi:type="dcterms:W3CDTF">2026-02-15T20:52:00Z</dcterms:created>
  <dcterms:modified xsi:type="dcterms:W3CDTF">2026-02-15T20:52:00Z</dcterms:modified>
</cp:coreProperties>
</file>